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51914" w14:textId="358BA0E4" w:rsidR="005E301D" w:rsidRPr="009C1AF0" w:rsidRDefault="00392839" w:rsidP="009C1AF0">
      <w:pPr>
        <w:jc w:val="center"/>
        <w:rPr>
          <w:rFonts w:ascii="Cambria" w:hAnsi="Cambria"/>
          <w:b/>
          <w:bCs/>
          <w:color w:val="0070C0"/>
          <w:sz w:val="28"/>
          <w:szCs w:val="28"/>
        </w:rPr>
      </w:pPr>
      <w:r w:rsidRPr="00392839">
        <w:rPr>
          <w:rFonts w:ascii="Cambria" w:hAnsi="Cambria"/>
          <w:b/>
          <w:bCs/>
          <w:color w:val="0070C0"/>
          <w:sz w:val="28"/>
          <w:szCs w:val="28"/>
        </w:rPr>
        <w:t>Certified Banking Compliance Professional</w:t>
      </w:r>
    </w:p>
    <w:p w14:paraId="1B5F0079" w14:textId="77777777" w:rsidR="005E301D" w:rsidRPr="00113001" w:rsidRDefault="005E301D" w:rsidP="00113001">
      <w:pPr>
        <w:pBdr>
          <w:top w:val="single" w:sz="4" w:space="1" w:color="auto"/>
          <w:left w:val="single" w:sz="4" w:space="4" w:color="auto"/>
          <w:bottom w:val="single" w:sz="4" w:space="1" w:color="auto"/>
          <w:right w:val="single" w:sz="4" w:space="4" w:color="auto"/>
        </w:pBdr>
        <w:spacing w:after="0" w:line="240" w:lineRule="auto"/>
        <w:ind w:left="1304" w:right="1304"/>
        <w:jc w:val="center"/>
        <w:rPr>
          <w:rFonts w:ascii="Cambria" w:hAnsi="Cambria" w:cstheme="minorHAnsi"/>
          <w:b/>
          <w:bCs/>
          <w:sz w:val="28"/>
          <w:szCs w:val="28"/>
        </w:rPr>
      </w:pPr>
      <w:r w:rsidRPr="00113001">
        <w:rPr>
          <w:rFonts w:ascii="Cambria" w:hAnsi="Cambria" w:cstheme="minorHAnsi"/>
          <w:b/>
          <w:bCs/>
          <w:sz w:val="28"/>
          <w:szCs w:val="28"/>
        </w:rPr>
        <w:t>RBI Notifications during the period</w:t>
      </w:r>
    </w:p>
    <w:p w14:paraId="26A1E133" w14:textId="77777777" w:rsidR="005E301D" w:rsidRPr="00113001" w:rsidRDefault="005E301D" w:rsidP="00113001">
      <w:pPr>
        <w:pBdr>
          <w:top w:val="single" w:sz="4" w:space="1" w:color="auto"/>
          <w:left w:val="single" w:sz="4" w:space="4" w:color="auto"/>
          <w:bottom w:val="single" w:sz="4" w:space="1" w:color="auto"/>
          <w:right w:val="single" w:sz="4" w:space="4" w:color="auto"/>
        </w:pBdr>
        <w:spacing w:after="0" w:line="240" w:lineRule="auto"/>
        <w:ind w:left="1304" w:right="1304"/>
        <w:jc w:val="center"/>
        <w:rPr>
          <w:rFonts w:ascii="Cambria" w:hAnsi="Cambria" w:cstheme="minorHAnsi"/>
          <w:b/>
          <w:bCs/>
          <w:sz w:val="28"/>
          <w:szCs w:val="28"/>
        </w:rPr>
      </w:pPr>
      <w:r w:rsidRPr="00113001">
        <w:rPr>
          <w:rFonts w:ascii="Cambria" w:hAnsi="Cambria" w:cstheme="minorHAnsi"/>
          <w:b/>
          <w:bCs/>
          <w:sz w:val="28"/>
          <w:szCs w:val="28"/>
        </w:rPr>
        <w:t>1st July 2020 to 31st Dec 2020</w:t>
      </w:r>
    </w:p>
    <w:p w14:paraId="12264813" w14:textId="77777777" w:rsidR="005D5CE2" w:rsidRDefault="005D5CE2" w:rsidP="004F2E3C">
      <w:pPr>
        <w:spacing w:after="0" w:line="240" w:lineRule="auto"/>
        <w:jc w:val="both"/>
        <w:rPr>
          <w:rFonts w:ascii="Cambria" w:hAnsi="Cambria"/>
          <w:b/>
          <w:bCs/>
          <w:sz w:val="24"/>
          <w:szCs w:val="24"/>
        </w:rPr>
      </w:pPr>
    </w:p>
    <w:p w14:paraId="20751EDE" w14:textId="13E34DA4" w:rsidR="00D7634B" w:rsidRPr="00113001" w:rsidRDefault="00D7634B" w:rsidP="004F2E3C">
      <w:pPr>
        <w:spacing w:after="0" w:line="240" w:lineRule="auto"/>
        <w:jc w:val="both"/>
        <w:rPr>
          <w:rFonts w:ascii="Cambria" w:hAnsi="Cambria"/>
          <w:b/>
          <w:bCs/>
          <w:sz w:val="24"/>
          <w:szCs w:val="24"/>
        </w:rPr>
      </w:pPr>
      <w:r w:rsidRPr="00113001">
        <w:rPr>
          <w:rFonts w:ascii="Cambria" w:hAnsi="Cambria"/>
          <w:b/>
          <w:bCs/>
          <w:sz w:val="24"/>
          <w:szCs w:val="24"/>
        </w:rPr>
        <w:t>Resolution Framework for COVID-19-related Stress</w:t>
      </w:r>
    </w:p>
    <w:p w14:paraId="3D5C822D" w14:textId="77777777" w:rsidR="00D7634B" w:rsidRPr="00113001" w:rsidRDefault="00D7634B" w:rsidP="004F2E3C">
      <w:pPr>
        <w:spacing w:after="0" w:line="240" w:lineRule="auto"/>
        <w:jc w:val="both"/>
        <w:rPr>
          <w:rFonts w:ascii="Cambria" w:hAnsi="Cambria"/>
          <w:sz w:val="24"/>
          <w:szCs w:val="24"/>
        </w:rPr>
      </w:pPr>
    </w:p>
    <w:p w14:paraId="27A8AA02" w14:textId="2DE17544"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 xml:space="preserve">RBI/2020-21/16 </w:t>
      </w:r>
      <w:proofErr w:type="spellStart"/>
      <w:r w:rsidRPr="00113001">
        <w:rPr>
          <w:rFonts w:ascii="Cambria" w:hAnsi="Cambria"/>
          <w:sz w:val="24"/>
          <w:szCs w:val="24"/>
        </w:rPr>
        <w:t>DOR.No.BP.BC</w:t>
      </w:r>
      <w:proofErr w:type="spellEnd"/>
      <w:r w:rsidRPr="00113001">
        <w:rPr>
          <w:rFonts w:ascii="Cambria" w:hAnsi="Cambria"/>
          <w:sz w:val="24"/>
          <w:szCs w:val="24"/>
        </w:rPr>
        <w:t>/3/21.04.048/2020-21</w:t>
      </w:r>
    </w:p>
    <w:p w14:paraId="5E0A5C0D"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August 6, 2020</w:t>
      </w:r>
    </w:p>
    <w:p w14:paraId="4E7A374A" w14:textId="77777777" w:rsidR="00D7634B" w:rsidRPr="00113001" w:rsidRDefault="00D7634B" w:rsidP="004F2E3C">
      <w:pPr>
        <w:spacing w:after="0" w:line="240" w:lineRule="auto"/>
        <w:jc w:val="both"/>
        <w:rPr>
          <w:rFonts w:ascii="Cambria" w:hAnsi="Cambria"/>
          <w:sz w:val="24"/>
          <w:szCs w:val="24"/>
        </w:rPr>
      </w:pPr>
    </w:p>
    <w:p w14:paraId="48301EFD" w14:textId="7C3BE3DF"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 xml:space="preserve">All Commercial Banks (including Small Finance Banks, Local Area </w:t>
      </w:r>
      <w:proofErr w:type="gramStart"/>
      <w:r w:rsidRPr="00113001">
        <w:rPr>
          <w:rFonts w:ascii="Cambria" w:hAnsi="Cambria"/>
          <w:sz w:val="24"/>
          <w:szCs w:val="24"/>
        </w:rPr>
        <w:t>Banks</w:t>
      </w:r>
      <w:proofErr w:type="gramEnd"/>
      <w:r w:rsidRPr="00113001">
        <w:rPr>
          <w:rFonts w:ascii="Cambria" w:hAnsi="Cambria"/>
          <w:sz w:val="24"/>
          <w:szCs w:val="24"/>
        </w:rPr>
        <w:t xml:space="preserve"> and Regional Rural Banks) /All Primary (Urban) Co-operative Banks/State Co-operative Banks/ District Central Co-operative Banks/All All-India Financial Institutions /All Non-Banking Financial Companies (including Housing Finance Companies)</w:t>
      </w:r>
    </w:p>
    <w:p w14:paraId="7921A0E8" w14:textId="77777777" w:rsidR="00D7634B" w:rsidRPr="00113001" w:rsidRDefault="00D7634B" w:rsidP="004F2E3C">
      <w:pPr>
        <w:spacing w:after="0" w:line="240" w:lineRule="auto"/>
        <w:jc w:val="both"/>
        <w:rPr>
          <w:rFonts w:ascii="Cambria" w:hAnsi="Cambria"/>
          <w:sz w:val="24"/>
          <w:szCs w:val="24"/>
        </w:rPr>
      </w:pPr>
    </w:p>
    <w:p w14:paraId="74F94C73" w14:textId="77777777" w:rsidR="00D7634B" w:rsidRPr="00113001" w:rsidRDefault="00D7634B" w:rsidP="004F2E3C">
      <w:pPr>
        <w:spacing w:after="0" w:line="240" w:lineRule="auto"/>
        <w:jc w:val="both"/>
        <w:rPr>
          <w:rFonts w:ascii="Cambria" w:hAnsi="Cambria"/>
          <w:sz w:val="24"/>
          <w:szCs w:val="24"/>
        </w:rPr>
      </w:pPr>
      <w:proofErr w:type="gramStart"/>
      <w:r w:rsidRPr="00113001">
        <w:rPr>
          <w:rFonts w:ascii="Cambria" w:hAnsi="Cambria"/>
          <w:sz w:val="24"/>
          <w:szCs w:val="24"/>
        </w:rPr>
        <w:t>The Reserve Bank of India (Prudential Framework for Resolution of Stressed Assets) Directions 2019,</w:t>
      </w:r>
      <w:proofErr w:type="gramEnd"/>
      <w:r w:rsidRPr="00113001">
        <w:rPr>
          <w:rFonts w:ascii="Cambria" w:hAnsi="Cambria"/>
          <w:sz w:val="24"/>
          <w:szCs w:val="24"/>
        </w:rPr>
        <w:t xml:space="preserve"> dated June 7, 2019 (“Prudential Framework”) provides a principle-based resolution framework for addressing borrower defaults under a normal scenario. Any resolution plan implemented under guidelines of “Prudential </w:t>
      </w:r>
      <w:proofErr w:type="spellStart"/>
      <w:r w:rsidRPr="00113001">
        <w:rPr>
          <w:rFonts w:ascii="Cambria" w:hAnsi="Cambria"/>
          <w:sz w:val="24"/>
          <w:szCs w:val="24"/>
        </w:rPr>
        <w:t>Framework”1</w:t>
      </w:r>
      <w:proofErr w:type="spellEnd"/>
      <w:r w:rsidRPr="00113001">
        <w:rPr>
          <w:rFonts w:ascii="Cambria" w:hAnsi="Cambria"/>
          <w:sz w:val="24"/>
          <w:szCs w:val="24"/>
        </w:rPr>
        <w:t xml:space="preserve"> which involves granting of any concession on account of financial difficulty of the borrower entails an asset classification downgrade, except when it is accompanied by a change in ownership, which allows the asset classification to be retained as or upgraded to Standard, subject to the prescribed conditions.</w:t>
      </w:r>
    </w:p>
    <w:p w14:paraId="1AF6DDD4" w14:textId="77777777" w:rsidR="00D7634B" w:rsidRPr="00113001" w:rsidRDefault="00D7634B" w:rsidP="004F2E3C">
      <w:pPr>
        <w:spacing w:after="0" w:line="240" w:lineRule="auto"/>
        <w:jc w:val="both"/>
        <w:rPr>
          <w:rFonts w:ascii="Cambria" w:hAnsi="Cambria"/>
          <w:sz w:val="24"/>
          <w:szCs w:val="24"/>
        </w:rPr>
      </w:pPr>
    </w:p>
    <w:p w14:paraId="0BA8CB63"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 xml:space="preserve">2. The economic fallout on account of the Covid-19 pandemic has led to significant financial stress for borrowers across the board. The resultant stress can potentially impact the long-term viability of many firms, otherwise having a good track record under the existing promoters, due to their debt burden becoming disproportionate relative to their cash flow generation abilities. Such </w:t>
      </w:r>
      <w:proofErr w:type="gramStart"/>
      <w:r w:rsidRPr="00113001">
        <w:rPr>
          <w:rFonts w:ascii="Cambria" w:hAnsi="Cambria"/>
          <w:sz w:val="24"/>
          <w:szCs w:val="24"/>
        </w:rPr>
        <w:t>wide spread</w:t>
      </w:r>
      <w:proofErr w:type="gramEnd"/>
      <w:r w:rsidRPr="00113001">
        <w:rPr>
          <w:rFonts w:ascii="Cambria" w:hAnsi="Cambria"/>
          <w:sz w:val="24"/>
          <w:szCs w:val="24"/>
        </w:rPr>
        <w:t xml:space="preserve"> impact could impair the entire recovery process, posing significant financial stability risks.</w:t>
      </w:r>
    </w:p>
    <w:p w14:paraId="658F3F5F" w14:textId="77777777" w:rsidR="00D7634B" w:rsidRPr="00113001" w:rsidRDefault="00D7634B" w:rsidP="004F2E3C">
      <w:pPr>
        <w:spacing w:after="0" w:line="240" w:lineRule="auto"/>
        <w:jc w:val="both"/>
        <w:rPr>
          <w:rFonts w:ascii="Cambria" w:hAnsi="Cambria"/>
          <w:sz w:val="24"/>
          <w:szCs w:val="24"/>
        </w:rPr>
      </w:pPr>
    </w:p>
    <w:p w14:paraId="437F185F"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3. Considering the above, with the intent to facilitate revival of real sector activities and mitigate the impact on the ultimate borrowers, it has been decided to provide a window under the Prudential Framework to enable the lenders to implement a resolution plan in respect of eligible corporate exposures without change in ownership, and personal loans, while classifying such exposures as Standard, subject to specified conditions. The details of the facility are given in the Annex.</w:t>
      </w:r>
    </w:p>
    <w:p w14:paraId="7DD6CDD3" w14:textId="77777777" w:rsidR="00D7634B" w:rsidRPr="00113001" w:rsidRDefault="00D7634B" w:rsidP="004F2E3C">
      <w:pPr>
        <w:spacing w:after="0" w:line="240" w:lineRule="auto"/>
        <w:jc w:val="both"/>
        <w:rPr>
          <w:rFonts w:ascii="Cambria" w:hAnsi="Cambria"/>
          <w:sz w:val="24"/>
          <w:szCs w:val="24"/>
        </w:rPr>
      </w:pPr>
    </w:p>
    <w:p w14:paraId="34A30546"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 xml:space="preserve">4. The lending institutions shall ensure that the resolution under this facility is extended only to borrowers having stress on account of </w:t>
      </w:r>
      <w:proofErr w:type="spellStart"/>
      <w:r w:rsidRPr="00113001">
        <w:rPr>
          <w:rFonts w:ascii="Cambria" w:hAnsi="Cambria"/>
          <w:sz w:val="24"/>
          <w:szCs w:val="24"/>
        </w:rPr>
        <w:t>Covid19</w:t>
      </w:r>
      <w:proofErr w:type="spellEnd"/>
      <w:r w:rsidRPr="00113001">
        <w:rPr>
          <w:rFonts w:ascii="Cambria" w:hAnsi="Cambria"/>
          <w:sz w:val="24"/>
          <w:szCs w:val="24"/>
        </w:rPr>
        <w:t>. Further, the lending institutions will be required to assess the viability of the resolution plan, subject to the prudential boundaries laid out in this Annex. Towards this end, each lending institution shall put in place a Board approved policy detailing the manner in which such evaluation may be done and the objective criteria that may be applied while considering the resolution plan in each case.</w:t>
      </w:r>
    </w:p>
    <w:p w14:paraId="6D0E1E60" w14:textId="77777777" w:rsidR="00D7634B" w:rsidRPr="00113001" w:rsidRDefault="00D7634B" w:rsidP="004F2E3C">
      <w:pPr>
        <w:spacing w:after="0" w:line="240" w:lineRule="auto"/>
        <w:jc w:val="both"/>
        <w:rPr>
          <w:rFonts w:ascii="Cambria" w:hAnsi="Cambria"/>
          <w:sz w:val="24"/>
          <w:szCs w:val="24"/>
        </w:rPr>
      </w:pPr>
    </w:p>
    <w:p w14:paraId="51B041CF"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 xml:space="preserve">5. Accounts which do not </w:t>
      </w:r>
      <w:proofErr w:type="spellStart"/>
      <w:r w:rsidRPr="00113001">
        <w:rPr>
          <w:rFonts w:ascii="Cambria" w:hAnsi="Cambria"/>
          <w:sz w:val="24"/>
          <w:szCs w:val="24"/>
        </w:rPr>
        <w:t>fulfill</w:t>
      </w:r>
      <w:proofErr w:type="spellEnd"/>
      <w:r w:rsidRPr="00113001">
        <w:rPr>
          <w:rFonts w:ascii="Cambria" w:hAnsi="Cambria"/>
          <w:sz w:val="24"/>
          <w:szCs w:val="24"/>
        </w:rPr>
        <w:t xml:space="preserve"> the required eligibility conditions to be considered for resolution under this framework may continue to be considered for resolution under the </w:t>
      </w:r>
      <w:r w:rsidRPr="00113001">
        <w:rPr>
          <w:rFonts w:ascii="Cambria" w:hAnsi="Cambria"/>
          <w:sz w:val="24"/>
          <w:szCs w:val="24"/>
        </w:rPr>
        <w:lastRenderedPageBreak/>
        <w:t>Prudential Framework, or the relevant instructions as applicable to specific category of lending institutions where the Prudential Framework is not applicable.</w:t>
      </w:r>
    </w:p>
    <w:p w14:paraId="71D982A1" w14:textId="77777777" w:rsidR="00D7634B" w:rsidRPr="00113001" w:rsidRDefault="00D7634B" w:rsidP="004F2E3C">
      <w:pPr>
        <w:spacing w:after="0" w:line="240" w:lineRule="auto"/>
        <w:jc w:val="both"/>
        <w:rPr>
          <w:rFonts w:ascii="Cambria" w:hAnsi="Cambria"/>
          <w:sz w:val="24"/>
          <w:szCs w:val="24"/>
        </w:rPr>
      </w:pPr>
    </w:p>
    <w:p w14:paraId="7D0BF0E4" w14:textId="2E4020F7" w:rsidR="00870362"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6. While the Prudential Framework is otherwise not applicable to certain categories of lending institutions to which this circular is addressed, exposures of these lending institutions shall also be included for any resolution under this facility. Consequently, without prejudice to the specific conditions applicable to this facility, all the norms applicable to implementation of a resolution plan, including the mandatory requirement of Inter-Creditor Agreements (ICA) and specific implementation conditions, as laid out in the Prudential Framework shall be applicable to all lending institutions for any resolution plan implemented under this facility. Terms used in this document, to the extent not defined herein, shall have the same meaning assigned to them in the Prudential Framework.</w:t>
      </w:r>
    </w:p>
    <w:p w14:paraId="6D3D5F72" w14:textId="77777777" w:rsidR="004F2E3C" w:rsidRPr="00113001" w:rsidRDefault="004F2E3C" w:rsidP="004F2E3C">
      <w:pPr>
        <w:spacing w:after="0" w:line="240" w:lineRule="auto"/>
        <w:jc w:val="both"/>
        <w:rPr>
          <w:rFonts w:ascii="Cambria" w:hAnsi="Cambria"/>
          <w:sz w:val="24"/>
          <w:szCs w:val="24"/>
        </w:rPr>
      </w:pPr>
    </w:p>
    <w:p w14:paraId="602CA675"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7D7029B9" w14:textId="2BFACDF1" w:rsidR="00D7634B" w:rsidRPr="00113001" w:rsidRDefault="00292908" w:rsidP="004F2E3C">
      <w:pPr>
        <w:spacing w:after="0" w:line="240" w:lineRule="auto"/>
        <w:jc w:val="both"/>
        <w:rPr>
          <w:rFonts w:ascii="Cambria" w:hAnsi="Cambria"/>
          <w:sz w:val="24"/>
          <w:szCs w:val="24"/>
        </w:rPr>
      </w:pPr>
      <w:hyperlink r:id="rId8" w:history="1">
        <w:r w:rsidR="00006EDF" w:rsidRPr="00113001">
          <w:rPr>
            <w:rStyle w:val="Hyperlink"/>
            <w:rFonts w:ascii="Cambria" w:hAnsi="Cambria"/>
            <w:sz w:val="24"/>
            <w:szCs w:val="24"/>
          </w:rPr>
          <w:t>https://www.rbi.org.in/Scripts/NotificationUser.aspx?Id=11941&amp;Mode=0</w:t>
        </w:r>
      </w:hyperlink>
      <w:r w:rsidR="00006EDF" w:rsidRPr="00113001">
        <w:rPr>
          <w:rFonts w:ascii="Cambria" w:hAnsi="Cambria"/>
          <w:sz w:val="24"/>
          <w:szCs w:val="24"/>
        </w:rPr>
        <w:t xml:space="preserve"> </w:t>
      </w:r>
    </w:p>
    <w:p w14:paraId="7EC57A5E" w14:textId="78F45A90" w:rsidR="00006EDF" w:rsidRPr="00113001" w:rsidRDefault="00006EDF" w:rsidP="004F2E3C">
      <w:pPr>
        <w:pBdr>
          <w:bottom w:val="single" w:sz="12" w:space="1" w:color="auto"/>
        </w:pBdr>
        <w:spacing w:after="0" w:line="240" w:lineRule="auto"/>
        <w:jc w:val="both"/>
        <w:rPr>
          <w:rFonts w:ascii="Cambria" w:hAnsi="Cambria"/>
          <w:sz w:val="24"/>
          <w:szCs w:val="24"/>
        </w:rPr>
      </w:pPr>
    </w:p>
    <w:p w14:paraId="450FE1FA" w14:textId="183FE1FF" w:rsidR="00006EDF" w:rsidRPr="00113001" w:rsidRDefault="00006EDF" w:rsidP="004F2E3C">
      <w:pPr>
        <w:spacing w:after="0" w:line="240" w:lineRule="auto"/>
        <w:jc w:val="both"/>
        <w:rPr>
          <w:rFonts w:ascii="Cambria" w:hAnsi="Cambria"/>
          <w:sz w:val="24"/>
          <w:szCs w:val="24"/>
        </w:rPr>
      </w:pPr>
    </w:p>
    <w:p w14:paraId="0E908236" w14:textId="77777777" w:rsidR="00006EDF" w:rsidRPr="00113001" w:rsidRDefault="00006EDF" w:rsidP="004F2E3C">
      <w:pPr>
        <w:spacing w:after="0" w:line="240" w:lineRule="auto"/>
        <w:jc w:val="both"/>
        <w:rPr>
          <w:rFonts w:ascii="Cambria" w:hAnsi="Cambria"/>
          <w:b/>
          <w:bCs/>
          <w:sz w:val="24"/>
          <w:szCs w:val="24"/>
        </w:rPr>
      </w:pPr>
      <w:r w:rsidRPr="00113001">
        <w:rPr>
          <w:rFonts w:ascii="Cambria" w:hAnsi="Cambria"/>
          <w:b/>
          <w:bCs/>
          <w:sz w:val="24"/>
          <w:szCs w:val="24"/>
        </w:rPr>
        <w:t>Resolution Framework for COVID-19-related Stress – Financial Parameters</w:t>
      </w:r>
    </w:p>
    <w:p w14:paraId="39CE7D53" w14:textId="77777777" w:rsidR="00006EDF" w:rsidRPr="00113001" w:rsidRDefault="00006EDF" w:rsidP="004F2E3C">
      <w:pPr>
        <w:spacing w:after="0" w:line="240" w:lineRule="auto"/>
        <w:jc w:val="both"/>
        <w:rPr>
          <w:rFonts w:ascii="Cambria" w:hAnsi="Cambria"/>
          <w:sz w:val="24"/>
          <w:szCs w:val="24"/>
        </w:rPr>
      </w:pPr>
    </w:p>
    <w:p w14:paraId="25781829" w14:textId="5BA09059"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 xml:space="preserve">RBI/2020-21/34 </w:t>
      </w:r>
      <w:proofErr w:type="spellStart"/>
      <w:r w:rsidRPr="00113001">
        <w:rPr>
          <w:rFonts w:ascii="Cambria" w:hAnsi="Cambria"/>
          <w:sz w:val="24"/>
          <w:szCs w:val="24"/>
        </w:rPr>
        <w:t>DOR.No.BP.BC</w:t>
      </w:r>
      <w:proofErr w:type="spellEnd"/>
      <w:r w:rsidRPr="00113001">
        <w:rPr>
          <w:rFonts w:ascii="Cambria" w:hAnsi="Cambria"/>
          <w:sz w:val="24"/>
          <w:szCs w:val="24"/>
        </w:rPr>
        <w:t>/13/21.04.048/2020-21</w:t>
      </w:r>
    </w:p>
    <w:p w14:paraId="3BC3EA23" w14:textId="77777777"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September 7, 2020</w:t>
      </w:r>
    </w:p>
    <w:p w14:paraId="65FA2784" w14:textId="77777777" w:rsidR="00006EDF" w:rsidRPr="00113001" w:rsidRDefault="00006EDF" w:rsidP="004F2E3C">
      <w:pPr>
        <w:spacing w:after="0" w:line="240" w:lineRule="auto"/>
        <w:jc w:val="both"/>
        <w:rPr>
          <w:rFonts w:ascii="Cambria" w:hAnsi="Cambria"/>
          <w:sz w:val="24"/>
          <w:szCs w:val="24"/>
        </w:rPr>
      </w:pPr>
    </w:p>
    <w:p w14:paraId="65A4A976" w14:textId="0901604A"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 xml:space="preserve">All Commercial Banks (including Small Finance Banks, Local Area </w:t>
      </w:r>
      <w:proofErr w:type="gramStart"/>
      <w:r w:rsidRPr="00113001">
        <w:rPr>
          <w:rFonts w:ascii="Cambria" w:hAnsi="Cambria"/>
          <w:sz w:val="24"/>
          <w:szCs w:val="24"/>
        </w:rPr>
        <w:t>Banks</w:t>
      </w:r>
      <w:proofErr w:type="gramEnd"/>
      <w:r w:rsidRPr="00113001">
        <w:rPr>
          <w:rFonts w:ascii="Cambria" w:hAnsi="Cambria"/>
          <w:sz w:val="24"/>
          <w:szCs w:val="24"/>
        </w:rPr>
        <w:t xml:space="preserve"> and Regional Rural Banks)/ All Primary (Urban) Co-operative Banks/State Co-operative Banks/ District Central Co-operative Banks/All All-India Financial Institutions/All Non-Banking Financial Companies (including Housing Finance Companies)</w:t>
      </w:r>
    </w:p>
    <w:p w14:paraId="79060947" w14:textId="77777777" w:rsidR="00006EDF" w:rsidRPr="00113001" w:rsidRDefault="00006EDF" w:rsidP="004F2E3C">
      <w:pPr>
        <w:spacing w:after="0" w:line="240" w:lineRule="auto"/>
        <w:jc w:val="both"/>
        <w:rPr>
          <w:rFonts w:ascii="Cambria" w:hAnsi="Cambria"/>
          <w:sz w:val="24"/>
          <w:szCs w:val="24"/>
        </w:rPr>
      </w:pPr>
    </w:p>
    <w:p w14:paraId="504F2996" w14:textId="14D7BE38"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 xml:space="preserve">Please refer to Paragraphs 23 and 24 of the Annex to the circular </w:t>
      </w:r>
      <w:proofErr w:type="spellStart"/>
      <w:r w:rsidRPr="00113001">
        <w:rPr>
          <w:rFonts w:ascii="Cambria" w:hAnsi="Cambria"/>
          <w:sz w:val="24"/>
          <w:szCs w:val="24"/>
        </w:rPr>
        <w:t>DOR.No.BP.BC</w:t>
      </w:r>
      <w:proofErr w:type="spellEnd"/>
      <w:r w:rsidRPr="00113001">
        <w:rPr>
          <w:rFonts w:ascii="Cambria" w:hAnsi="Cambria"/>
          <w:sz w:val="24"/>
          <w:szCs w:val="24"/>
        </w:rPr>
        <w:t>/3/ 21.04.048/2020-21 dated August 6, 2020 (“Resolution Framework”) which envisages constitution of an Expert Committee by the Reserve Bank to make recommendations on the required financial parameters with sector specific benchmark ranges for such parameters to be factored in the resolution plans in respect of borrowers eligible under Part B of the Annex to the Resolution Framework.</w:t>
      </w:r>
    </w:p>
    <w:p w14:paraId="07FB4673" w14:textId="77777777" w:rsidR="00006EDF" w:rsidRPr="00113001" w:rsidRDefault="00006EDF" w:rsidP="004F2E3C">
      <w:pPr>
        <w:spacing w:after="0" w:line="240" w:lineRule="auto"/>
        <w:jc w:val="both"/>
        <w:rPr>
          <w:rFonts w:ascii="Cambria" w:hAnsi="Cambria"/>
          <w:sz w:val="24"/>
          <w:szCs w:val="24"/>
        </w:rPr>
      </w:pPr>
    </w:p>
    <w:p w14:paraId="4DCA4CEB" w14:textId="77777777"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 xml:space="preserve">2. The Reserve Bank had accordingly set up an Expert Committee with Shri K. V. Kamath as the Chairperson, as announced in the press release dated August 7, 2020. The Expert Committee has since submitted its recommendations to the Reserve Bank on September 4, 2020, which have been </w:t>
      </w:r>
      <w:proofErr w:type="gramStart"/>
      <w:r w:rsidRPr="00113001">
        <w:rPr>
          <w:rFonts w:ascii="Cambria" w:hAnsi="Cambria"/>
          <w:sz w:val="24"/>
          <w:szCs w:val="24"/>
        </w:rPr>
        <w:t>broadly accepted</w:t>
      </w:r>
      <w:proofErr w:type="gramEnd"/>
      <w:r w:rsidRPr="00113001">
        <w:rPr>
          <w:rFonts w:ascii="Cambria" w:hAnsi="Cambria"/>
          <w:sz w:val="24"/>
          <w:szCs w:val="24"/>
        </w:rPr>
        <w:t xml:space="preserve"> by the Reserve Bank.</w:t>
      </w:r>
    </w:p>
    <w:p w14:paraId="64F5B47A" w14:textId="77777777" w:rsidR="00006EDF" w:rsidRPr="00113001" w:rsidRDefault="00006EDF" w:rsidP="004F2E3C">
      <w:pPr>
        <w:spacing w:after="0" w:line="240" w:lineRule="auto"/>
        <w:jc w:val="both"/>
        <w:rPr>
          <w:rFonts w:ascii="Cambria" w:hAnsi="Cambria"/>
          <w:sz w:val="24"/>
          <w:szCs w:val="24"/>
        </w:rPr>
      </w:pPr>
    </w:p>
    <w:p w14:paraId="411995BF" w14:textId="296C7DE9"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3. Accordingly, all lending institutions shall mandatorily consider the following key ratios while finalizing the resolution plans in respect of eligible borrowers under Part B of the Annex to the Resolution Framework</w:t>
      </w:r>
      <w:r w:rsidR="004F2E3C" w:rsidRPr="00113001">
        <w:rPr>
          <w:rFonts w:ascii="Cambria" w:hAnsi="Cambria"/>
          <w:sz w:val="24"/>
          <w:szCs w:val="24"/>
        </w:rPr>
        <w:t>.</w:t>
      </w:r>
    </w:p>
    <w:p w14:paraId="42272F6F" w14:textId="74537C5A" w:rsidR="004F2E3C" w:rsidRPr="00113001" w:rsidRDefault="004F2E3C" w:rsidP="004F2E3C">
      <w:pPr>
        <w:spacing w:after="0" w:line="240" w:lineRule="auto"/>
        <w:jc w:val="both"/>
        <w:rPr>
          <w:rFonts w:ascii="Cambria" w:hAnsi="Cambria"/>
          <w:sz w:val="24"/>
          <w:szCs w:val="24"/>
        </w:rPr>
      </w:pPr>
    </w:p>
    <w:p w14:paraId="5F6E245E"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1F761466" w14:textId="77777777" w:rsidR="004F2E3C" w:rsidRPr="00113001" w:rsidRDefault="00292908" w:rsidP="004F2E3C">
      <w:pPr>
        <w:spacing w:after="0" w:line="240" w:lineRule="auto"/>
        <w:jc w:val="both"/>
        <w:rPr>
          <w:rFonts w:ascii="Cambria" w:hAnsi="Cambria"/>
          <w:sz w:val="24"/>
          <w:szCs w:val="24"/>
        </w:rPr>
      </w:pPr>
      <w:hyperlink r:id="rId9" w:history="1">
        <w:r w:rsidR="004F2E3C" w:rsidRPr="00113001">
          <w:rPr>
            <w:rStyle w:val="Hyperlink"/>
            <w:rFonts w:ascii="Cambria" w:hAnsi="Cambria"/>
            <w:sz w:val="24"/>
            <w:szCs w:val="24"/>
          </w:rPr>
          <w:t>https://www.rbi.org.in/Scripts/NotificationUser.aspx?Id=11961&amp;Mode=0</w:t>
        </w:r>
      </w:hyperlink>
      <w:r w:rsidR="004F2E3C" w:rsidRPr="00113001">
        <w:rPr>
          <w:rFonts w:ascii="Cambria" w:hAnsi="Cambria"/>
          <w:sz w:val="24"/>
          <w:szCs w:val="24"/>
        </w:rPr>
        <w:t xml:space="preserve"> </w:t>
      </w:r>
    </w:p>
    <w:p w14:paraId="506F9CF5" w14:textId="64E548D4" w:rsidR="00006EDF" w:rsidRPr="00113001" w:rsidRDefault="00006EDF" w:rsidP="004F2E3C">
      <w:pPr>
        <w:pBdr>
          <w:bottom w:val="single" w:sz="12" w:space="1" w:color="auto"/>
        </w:pBdr>
        <w:spacing w:after="0" w:line="240" w:lineRule="auto"/>
        <w:jc w:val="both"/>
        <w:rPr>
          <w:rFonts w:ascii="Cambria" w:hAnsi="Cambria"/>
          <w:sz w:val="24"/>
          <w:szCs w:val="24"/>
        </w:rPr>
      </w:pPr>
    </w:p>
    <w:p w14:paraId="033206BD" w14:textId="4ED2D1B1" w:rsidR="00AC0EFA" w:rsidRPr="00113001" w:rsidRDefault="00AC0EFA" w:rsidP="004F2E3C">
      <w:pPr>
        <w:spacing w:after="0" w:line="240" w:lineRule="auto"/>
        <w:jc w:val="both"/>
        <w:rPr>
          <w:rFonts w:ascii="Cambria" w:hAnsi="Cambria"/>
          <w:b/>
          <w:bCs/>
          <w:sz w:val="24"/>
          <w:szCs w:val="24"/>
        </w:rPr>
      </w:pPr>
    </w:p>
    <w:p w14:paraId="5775BA39" w14:textId="77777777" w:rsidR="00282666" w:rsidRDefault="00282666" w:rsidP="004F2E3C">
      <w:pPr>
        <w:spacing w:after="0" w:line="240" w:lineRule="auto"/>
        <w:jc w:val="both"/>
        <w:rPr>
          <w:rFonts w:ascii="Cambria" w:hAnsi="Cambria"/>
          <w:b/>
          <w:bCs/>
          <w:sz w:val="24"/>
          <w:szCs w:val="24"/>
        </w:rPr>
      </w:pPr>
    </w:p>
    <w:p w14:paraId="6FE7C4DC" w14:textId="47BDCD31" w:rsidR="00AC0EFA" w:rsidRPr="00113001" w:rsidRDefault="00AC0EFA" w:rsidP="004F2E3C">
      <w:pPr>
        <w:spacing w:after="0" w:line="240" w:lineRule="auto"/>
        <w:jc w:val="both"/>
        <w:rPr>
          <w:rFonts w:ascii="Cambria" w:hAnsi="Cambria"/>
          <w:b/>
          <w:bCs/>
          <w:sz w:val="24"/>
          <w:szCs w:val="24"/>
        </w:rPr>
      </w:pPr>
      <w:r w:rsidRPr="00113001">
        <w:rPr>
          <w:rFonts w:ascii="Cambria" w:hAnsi="Cambria"/>
          <w:b/>
          <w:bCs/>
          <w:sz w:val="24"/>
          <w:szCs w:val="24"/>
        </w:rPr>
        <w:t>Basel III Capital Regulations – Treatment of debt mutual funds/ETFs</w:t>
      </w:r>
    </w:p>
    <w:p w14:paraId="4CE17D81" w14:textId="77777777" w:rsidR="00D52BE8" w:rsidRPr="00113001" w:rsidRDefault="00D52BE8" w:rsidP="004F2E3C">
      <w:pPr>
        <w:spacing w:after="0" w:line="240" w:lineRule="auto"/>
        <w:jc w:val="both"/>
        <w:rPr>
          <w:rFonts w:ascii="Cambria" w:hAnsi="Cambria"/>
          <w:sz w:val="24"/>
          <w:szCs w:val="24"/>
        </w:rPr>
      </w:pPr>
    </w:p>
    <w:p w14:paraId="7F8CD89C" w14:textId="620DF79F" w:rsidR="00AC0EFA" w:rsidRPr="00113001" w:rsidRDefault="00AC0EFA" w:rsidP="004F2E3C">
      <w:pPr>
        <w:spacing w:after="0" w:line="240" w:lineRule="auto"/>
        <w:jc w:val="both"/>
        <w:rPr>
          <w:rFonts w:ascii="Cambria" w:hAnsi="Cambria"/>
          <w:sz w:val="24"/>
          <w:szCs w:val="24"/>
        </w:rPr>
      </w:pPr>
      <w:r w:rsidRPr="00113001">
        <w:rPr>
          <w:rFonts w:ascii="Cambria" w:hAnsi="Cambria"/>
          <w:sz w:val="24"/>
          <w:szCs w:val="24"/>
        </w:rPr>
        <w:t xml:space="preserve">RBI/2020-21/18 </w:t>
      </w:r>
      <w:proofErr w:type="spellStart"/>
      <w:r w:rsidRPr="00113001">
        <w:rPr>
          <w:rFonts w:ascii="Cambria" w:hAnsi="Cambria"/>
          <w:sz w:val="24"/>
          <w:szCs w:val="24"/>
        </w:rPr>
        <w:t>DOR.No.BP.BC</w:t>
      </w:r>
      <w:proofErr w:type="spellEnd"/>
      <w:r w:rsidRPr="00113001">
        <w:rPr>
          <w:rFonts w:ascii="Cambria" w:hAnsi="Cambria"/>
          <w:sz w:val="24"/>
          <w:szCs w:val="24"/>
        </w:rPr>
        <w:t>/5/21.04.201/2020-21</w:t>
      </w:r>
    </w:p>
    <w:p w14:paraId="28146B4B" w14:textId="77777777" w:rsidR="00AC0EFA" w:rsidRPr="00113001" w:rsidRDefault="00AC0EFA" w:rsidP="004F2E3C">
      <w:pPr>
        <w:spacing w:after="0" w:line="240" w:lineRule="auto"/>
        <w:jc w:val="both"/>
        <w:rPr>
          <w:rFonts w:ascii="Cambria" w:hAnsi="Cambria"/>
          <w:sz w:val="24"/>
          <w:szCs w:val="24"/>
        </w:rPr>
      </w:pPr>
      <w:r w:rsidRPr="00113001">
        <w:rPr>
          <w:rFonts w:ascii="Cambria" w:hAnsi="Cambria"/>
          <w:sz w:val="24"/>
          <w:szCs w:val="24"/>
        </w:rPr>
        <w:t>August 6, 2020</w:t>
      </w:r>
    </w:p>
    <w:p w14:paraId="3264D50B" w14:textId="77777777" w:rsidR="00AC0EFA" w:rsidRPr="00113001" w:rsidRDefault="00AC0EFA" w:rsidP="004F2E3C">
      <w:pPr>
        <w:spacing w:after="0" w:line="240" w:lineRule="auto"/>
        <w:jc w:val="both"/>
        <w:rPr>
          <w:rFonts w:ascii="Cambria" w:hAnsi="Cambria"/>
          <w:sz w:val="24"/>
          <w:szCs w:val="24"/>
        </w:rPr>
      </w:pPr>
    </w:p>
    <w:p w14:paraId="6013109C" w14:textId="6ED9E5DD" w:rsidR="00AC0EFA" w:rsidRPr="00113001" w:rsidRDefault="00AC0EFA" w:rsidP="004F2E3C">
      <w:pPr>
        <w:spacing w:after="0" w:line="240" w:lineRule="auto"/>
        <w:jc w:val="both"/>
        <w:rPr>
          <w:rFonts w:ascii="Cambria" w:hAnsi="Cambria"/>
          <w:sz w:val="24"/>
          <w:szCs w:val="24"/>
        </w:rPr>
      </w:pPr>
      <w:r w:rsidRPr="00113001">
        <w:rPr>
          <w:rFonts w:ascii="Cambria" w:hAnsi="Cambria"/>
          <w:sz w:val="24"/>
          <w:szCs w:val="24"/>
        </w:rPr>
        <w:t>All Scheduled Commercial Banks (Excluding Local Area Banks and Regional Rural Banks)</w:t>
      </w:r>
    </w:p>
    <w:p w14:paraId="034E69D2" w14:textId="77777777" w:rsidR="00AC0EFA" w:rsidRPr="00113001" w:rsidRDefault="00AC0EFA" w:rsidP="004F2E3C">
      <w:pPr>
        <w:spacing w:after="0" w:line="240" w:lineRule="auto"/>
        <w:jc w:val="both"/>
        <w:rPr>
          <w:rFonts w:ascii="Cambria" w:hAnsi="Cambria"/>
          <w:sz w:val="24"/>
          <w:szCs w:val="24"/>
        </w:rPr>
      </w:pPr>
    </w:p>
    <w:p w14:paraId="723E55C8" w14:textId="77777777" w:rsidR="00AC0EFA" w:rsidRPr="00113001" w:rsidRDefault="00AC0EFA" w:rsidP="004F2E3C">
      <w:pPr>
        <w:spacing w:after="0" w:line="240" w:lineRule="auto"/>
        <w:jc w:val="both"/>
        <w:rPr>
          <w:rFonts w:ascii="Cambria" w:hAnsi="Cambria"/>
          <w:sz w:val="24"/>
          <w:szCs w:val="24"/>
        </w:rPr>
      </w:pPr>
      <w:r w:rsidRPr="00113001">
        <w:rPr>
          <w:rFonts w:ascii="Cambria" w:hAnsi="Cambria"/>
          <w:sz w:val="24"/>
          <w:szCs w:val="24"/>
        </w:rPr>
        <w:t xml:space="preserve">Please refer to our circular </w:t>
      </w:r>
      <w:proofErr w:type="spellStart"/>
      <w:r w:rsidRPr="00113001">
        <w:rPr>
          <w:rFonts w:ascii="Cambria" w:hAnsi="Cambria"/>
          <w:sz w:val="24"/>
          <w:szCs w:val="24"/>
        </w:rPr>
        <w:t>DBR.No.BP.BC.1</w:t>
      </w:r>
      <w:proofErr w:type="spellEnd"/>
      <w:r w:rsidRPr="00113001">
        <w:rPr>
          <w:rFonts w:ascii="Cambria" w:hAnsi="Cambria"/>
          <w:sz w:val="24"/>
          <w:szCs w:val="24"/>
        </w:rPr>
        <w:t>/21.06.201/2015-16 dated July 1, 2015, on Basel III capital regulations.</w:t>
      </w:r>
    </w:p>
    <w:p w14:paraId="5C6DD836" w14:textId="77777777" w:rsidR="00AC0EFA" w:rsidRPr="00113001" w:rsidRDefault="00AC0EFA" w:rsidP="004F2E3C">
      <w:pPr>
        <w:spacing w:after="0" w:line="240" w:lineRule="auto"/>
        <w:jc w:val="both"/>
        <w:rPr>
          <w:rFonts w:ascii="Cambria" w:hAnsi="Cambria"/>
          <w:sz w:val="24"/>
          <w:szCs w:val="24"/>
        </w:rPr>
      </w:pPr>
    </w:p>
    <w:p w14:paraId="7D0C7870" w14:textId="77777777" w:rsidR="00AC0EFA" w:rsidRPr="00113001" w:rsidRDefault="00AC0EFA" w:rsidP="004F2E3C">
      <w:pPr>
        <w:spacing w:after="0" w:line="240" w:lineRule="auto"/>
        <w:jc w:val="both"/>
        <w:rPr>
          <w:rFonts w:ascii="Cambria" w:hAnsi="Cambria"/>
          <w:sz w:val="24"/>
          <w:szCs w:val="24"/>
        </w:rPr>
      </w:pPr>
      <w:r w:rsidRPr="00113001">
        <w:rPr>
          <w:rFonts w:ascii="Cambria" w:hAnsi="Cambria"/>
          <w:sz w:val="24"/>
          <w:szCs w:val="24"/>
        </w:rPr>
        <w:t>2. In terms of para 8.4.1 of the circular, capital charge for equities is applicable to units of mutual funds. It has now been decided that the banks investing in debt mutual fund/exchange traded fund (ETF) with underlying comprising of (</w:t>
      </w:r>
      <w:proofErr w:type="spellStart"/>
      <w:r w:rsidRPr="00113001">
        <w:rPr>
          <w:rFonts w:ascii="Cambria" w:hAnsi="Cambria"/>
          <w:sz w:val="24"/>
          <w:szCs w:val="24"/>
        </w:rPr>
        <w:t>i</w:t>
      </w:r>
      <w:proofErr w:type="spellEnd"/>
      <w:r w:rsidRPr="00113001">
        <w:rPr>
          <w:rFonts w:ascii="Cambria" w:hAnsi="Cambria"/>
          <w:sz w:val="24"/>
          <w:szCs w:val="24"/>
        </w:rPr>
        <w:t>) Central, State and Foreign Central Governments’ bonds (ii) Bank’s Bonds and (iii) Corporate Bonds (other than Bank Bonds) shall compute capital charge for market risk as under:</w:t>
      </w:r>
    </w:p>
    <w:p w14:paraId="6275654F" w14:textId="77777777" w:rsidR="00AC0EFA" w:rsidRPr="00113001" w:rsidRDefault="00AC0EFA" w:rsidP="004F2E3C">
      <w:pPr>
        <w:spacing w:after="0" w:line="240" w:lineRule="auto"/>
        <w:jc w:val="both"/>
        <w:rPr>
          <w:rFonts w:ascii="Cambria" w:hAnsi="Cambria"/>
          <w:sz w:val="24"/>
          <w:szCs w:val="24"/>
        </w:rPr>
      </w:pPr>
    </w:p>
    <w:p w14:paraId="4CBC7505" w14:textId="77777777" w:rsidR="00AC0EFA" w:rsidRPr="00113001" w:rsidRDefault="00AC0EFA" w:rsidP="004F2E3C">
      <w:pPr>
        <w:spacing w:after="0" w:line="240" w:lineRule="auto"/>
        <w:jc w:val="both"/>
        <w:rPr>
          <w:rFonts w:ascii="Cambria" w:hAnsi="Cambria"/>
          <w:sz w:val="24"/>
          <w:szCs w:val="24"/>
        </w:rPr>
      </w:pPr>
      <w:r w:rsidRPr="00113001">
        <w:rPr>
          <w:rFonts w:ascii="Cambria" w:hAnsi="Cambria"/>
          <w:sz w:val="24"/>
          <w:szCs w:val="24"/>
        </w:rPr>
        <w:t>a) Investment in debt mutual fund/ETF for which full constituent debt details are available shall attract general market risk charge of 9 per cent, as hitherto. Specific risk capital charge for various kinds of exposures would be applied as detailed below:</w:t>
      </w:r>
    </w:p>
    <w:p w14:paraId="74E21B2D" w14:textId="77777777" w:rsidR="00AC0EFA" w:rsidRPr="00113001" w:rsidRDefault="00AC0EFA" w:rsidP="004F2E3C">
      <w:pPr>
        <w:spacing w:after="0" w:line="240" w:lineRule="auto"/>
        <w:jc w:val="both"/>
        <w:rPr>
          <w:rFonts w:ascii="Cambria" w:hAnsi="Cambria"/>
          <w:sz w:val="24"/>
          <w:szCs w:val="24"/>
        </w:rPr>
      </w:pPr>
    </w:p>
    <w:tbl>
      <w:tblPr>
        <w:tblW w:w="45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2"/>
        <w:gridCol w:w="5392"/>
        <w:gridCol w:w="2239"/>
      </w:tblGrid>
      <w:tr w:rsidR="00AC0EFA" w:rsidRPr="00113001" w14:paraId="14E441F9" w14:textId="77777777" w:rsidTr="00D52BE8">
        <w:trPr>
          <w:trHeight w:val="715"/>
          <w:jc w:val="center"/>
        </w:trPr>
        <w:tc>
          <w:tcPr>
            <w:tcW w:w="399" w:type="pct"/>
            <w:tcMar>
              <w:top w:w="0" w:type="dxa"/>
              <w:left w:w="45" w:type="dxa"/>
              <w:bottom w:w="0" w:type="dxa"/>
              <w:right w:w="45" w:type="dxa"/>
            </w:tcMar>
            <w:vAlign w:val="center"/>
            <w:hideMark/>
          </w:tcPr>
          <w:p w14:paraId="525C9A96" w14:textId="77777777" w:rsidR="00AC0EFA" w:rsidRPr="00113001" w:rsidRDefault="00AC0EFA" w:rsidP="004F2E3C">
            <w:pPr>
              <w:spacing w:after="0" w:line="240" w:lineRule="auto"/>
              <w:jc w:val="both"/>
              <w:rPr>
                <w:rFonts w:ascii="Cambria" w:eastAsia="Times New Roman" w:hAnsi="Cambria" w:cs="Arial"/>
                <w:b/>
                <w:bCs/>
                <w:color w:val="000000"/>
                <w:sz w:val="24"/>
                <w:szCs w:val="24"/>
                <w:lang w:eastAsia="en-IN"/>
              </w:rPr>
            </w:pPr>
            <w:r w:rsidRPr="00113001">
              <w:rPr>
                <w:rFonts w:ascii="Cambria" w:eastAsia="Times New Roman" w:hAnsi="Cambria" w:cs="Arial"/>
                <w:b/>
                <w:bCs/>
                <w:color w:val="000000"/>
                <w:sz w:val="24"/>
                <w:szCs w:val="24"/>
                <w:lang w:eastAsia="en-IN"/>
              </w:rPr>
              <w:t>Sr. No.</w:t>
            </w:r>
          </w:p>
        </w:tc>
        <w:tc>
          <w:tcPr>
            <w:tcW w:w="3251" w:type="pct"/>
            <w:tcMar>
              <w:top w:w="0" w:type="dxa"/>
              <w:left w:w="45" w:type="dxa"/>
              <w:bottom w:w="0" w:type="dxa"/>
              <w:right w:w="45" w:type="dxa"/>
            </w:tcMar>
            <w:vAlign w:val="center"/>
            <w:hideMark/>
          </w:tcPr>
          <w:p w14:paraId="45A342A9" w14:textId="77777777" w:rsidR="00AC0EFA" w:rsidRPr="00113001" w:rsidRDefault="00AC0EFA" w:rsidP="004F2E3C">
            <w:pPr>
              <w:spacing w:after="0" w:line="240" w:lineRule="auto"/>
              <w:jc w:val="both"/>
              <w:rPr>
                <w:rFonts w:ascii="Cambria" w:eastAsia="Times New Roman" w:hAnsi="Cambria" w:cs="Arial"/>
                <w:b/>
                <w:bCs/>
                <w:color w:val="000000"/>
                <w:sz w:val="24"/>
                <w:szCs w:val="24"/>
                <w:lang w:eastAsia="en-IN"/>
              </w:rPr>
            </w:pPr>
            <w:r w:rsidRPr="00113001">
              <w:rPr>
                <w:rFonts w:ascii="Cambria" w:eastAsia="Times New Roman" w:hAnsi="Cambria" w:cs="Arial"/>
                <w:b/>
                <w:bCs/>
                <w:color w:val="000000"/>
                <w:sz w:val="24"/>
                <w:szCs w:val="24"/>
                <w:lang w:eastAsia="en-IN"/>
              </w:rPr>
              <w:t>Nature of debt securities/issuer</w:t>
            </w:r>
          </w:p>
        </w:tc>
        <w:tc>
          <w:tcPr>
            <w:tcW w:w="1350" w:type="pct"/>
            <w:tcMar>
              <w:top w:w="0" w:type="dxa"/>
              <w:left w:w="45" w:type="dxa"/>
              <w:bottom w:w="0" w:type="dxa"/>
              <w:right w:w="45" w:type="dxa"/>
            </w:tcMar>
            <w:vAlign w:val="center"/>
            <w:hideMark/>
          </w:tcPr>
          <w:p w14:paraId="234122E4" w14:textId="77777777" w:rsidR="00AC0EFA" w:rsidRPr="00113001" w:rsidRDefault="00AC0EFA" w:rsidP="004F2E3C">
            <w:pPr>
              <w:spacing w:after="0" w:line="240" w:lineRule="auto"/>
              <w:jc w:val="both"/>
              <w:rPr>
                <w:rFonts w:ascii="Cambria" w:eastAsia="Times New Roman" w:hAnsi="Cambria" w:cs="Arial"/>
                <w:b/>
                <w:bCs/>
                <w:color w:val="000000"/>
                <w:sz w:val="24"/>
                <w:szCs w:val="24"/>
                <w:lang w:eastAsia="en-IN"/>
              </w:rPr>
            </w:pPr>
            <w:r w:rsidRPr="00113001">
              <w:rPr>
                <w:rFonts w:ascii="Cambria" w:eastAsia="Times New Roman" w:hAnsi="Cambria" w:cs="Arial"/>
                <w:b/>
                <w:bCs/>
                <w:color w:val="000000"/>
                <w:sz w:val="24"/>
                <w:szCs w:val="24"/>
                <w:lang w:eastAsia="en-IN"/>
              </w:rPr>
              <w:t>Table to be followed</w:t>
            </w:r>
            <w:r w:rsidRPr="00113001">
              <w:rPr>
                <w:rFonts w:ascii="Cambria" w:eastAsia="Times New Roman" w:hAnsi="Cambria" w:cs="Arial"/>
                <w:b/>
                <w:bCs/>
                <w:color w:val="000000"/>
                <w:sz w:val="24"/>
                <w:szCs w:val="24"/>
                <w:lang w:eastAsia="en-IN"/>
              </w:rPr>
              <w:br/>
              <w:t>(details in </w:t>
            </w:r>
            <w:hyperlink r:id="rId10" w:anchor="A_1" w:history="1">
              <w:r w:rsidRPr="00113001">
                <w:rPr>
                  <w:rFonts w:ascii="Cambria" w:eastAsia="Times New Roman" w:hAnsi="Cambria" w:cs="Arial"/>
                  <w:b/>
                  <w:bCs/>
                  <w:color w:val="0000FF"/>
                  <w:sz w:val="24"/>
                  <w:szCs w:val="24"/>
                  <w:u w:val="single"/>
                  <w:lang w:eastAsia="en-IN"/>
                </w:rPr>
                <w:t>Annex</w:t>
              </w:r>
            </w:hyperlink>
            <w:r w:rsidRPr="00113001">
              <w:rPr>
                <w:rFonts w:ascii="Cambria" w:eastAsia="Times New Roman" w:hAnsi="Cambria" w:cs="Arial"/>
                <w:b/>
                <w:bCs/>
                <w:color w:val="000000"/>
                <w:sz w:val="24"/>
                <w:szCs w:val="24"/>
                <w:lang w:eastAsia="en-IN"/>
              </w:rPr>
              <w:t>)</w:t>
            </w:r>
          </w:p>
        </w:tc>
      </w:tr>
      <w:tr w:rsidR="00AC0EFA" w:rsidRPr="00113001" w14:paraId="591A2EFA" w14:textId="77777777" w:rsidTr="00D52BE8">
        <w:trPr>
          <w:trHeight w:val="362"/>
          <w:jc w:val="center"/>
        </w:trPr>
        <w:tc>
          <w:tcPr>
            <w:tcW w:w="0" w:type="auto"/>
            <w:tcMar>
              <w:top w:w="0" w:type="dxa"/>
              <w:left w:w="45" w:type="dxa"/>
              <w:bottom w:w="0" w:type="dxa"/>
              <w:right w:w="45" w:type="dxa"/>
            </w:tcMar>
            <w:vAlign w:val="center"/>
            <w:hideMark/>
          </w:tcPr>
          <w:p w14:paraId="13C3A954"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a</w:t>
            </w:r>
          </w:p>
        </w:tc>
        <w:tc>
          <w:tcPr>
            <w:tcW w:w="0" w:type="auto"/>
            <w:tcMar>
              <w:top w:w="0" w:type="dxa"/>
              <w:left w:w="45" w:type="dxa"/>
              <w:bottom w:w="0" w:type="dxa"/>
              <w:right w:w="45" w:type="dxa"/>
            </w:tcMar>
            <w:vAlign w:val="center"/>
            <w:hideMark/>
          </w:tcPr>
          <w:p w14:paraId="5443B403"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Central, State and Foreign Central Governments’ bonds</w:t>
            </w:r>
          </w:p>
        </w:tc>
        <w:tc>
          <w:tcPr>
            <w:tcW w:w="0" w:type="auto"/>
            <w:tcMar>
              <w:top w:w="0" w:type="dxa"/>
              <w:left w:w="45" w:type="dxa"/>
              <w:bottom w:w="0" w:type="dxa"/>
              <w:right w:w="45" w:type="dxa"/>
            </w:tcMar>
            <w:vAlign w:val="center"/>
            <w:hideMark/>
          </w:tcPr>
          <w:p w14:paraId="445DAF48"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Table 16 – Part B</w:t>
            </w:r>
          </w:p>
        </w:tc>
      </w:tr>
      <w:tr w:rsidR="00AC0EFA" w:rsidRPr="00113001" w14:paraId="6D01C965" w14:textId="77777777" w:rsidTr="00D52BE8">
        <w:trPr>
          <w:trHeight w:val="171"/>
          <w:jc w:val="center"/>
        </w:trPr>
        <w:tc>
          <w:tcPr>
            <w:tcW w:w="0" w:type="auto"/>
            <w:tcMar>
              <w:top w:w="0" w:type="dxa"/>
              <w:left w:w="45" w:type="dxa"/>
              <w:bottom w:w="0" w:type="dxa"/>
              <w:right w:w="45" w:type="dxa"/>
            </w:tcMar>
            <w:vAlign w:val="center"/>
            <w:hideMark/>
          </w:tcPr>
          <w:p w14:paraId="5C891425"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b</w:t>
            </w:r>
          </w:p>
        </w:tc>
        <w:tc>
          <w:tcPr>
            <w:tcW w:w="0" w:type="auto"/>
            <w:tcMar>
              <w:top w:w="0" w:type="dxa"/>
              <w:left w:w="45" w:type="dxa"/>
              <w:bottom w:w="0" w:type="dxa"/>
              <w:right w:w="45" w:type="dxa"/>
            </w:tcMar>
            <w:vAlign w:val="center"/>
            <w:hideMark/>
          </w:tcPr>
          <w:p w14:paraId="11D6BBCA"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Banks’ Bonds</w:t>
            </w:r>
          </w:p>
        </w:tc>
        <w:tc>
          <w:tcPr>
            <w:tcW w:w="0" w:type="auto"/>
            <w:tcMar>
              <w:top w:w="0" w:type="dxa"/>
              <w:left w:w="45" w:type="dxa"/>
              <w:bottom w:w="0" w:type="dxa"/>
              <w:right w:w="45" w:type="dxa"/>
            </w:tcMar>
            <w:vAlign w:val="center"/>
            <w:hideMark/>
          </w:tcPr>
          <w:p w14:paraId="75EF00E2"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Table 16 – Part D</w:t>
            </w:r>
          </w:p>
        </w:tc>
      </w:tr>
      <w:tr w:rsidR="00AC0EFA" w:rsidRPr="00113001" w14:paraId="550AC030" w14:textId="77777777" w:rsidTr="00D52BE8">
        <w:trPr>
          <w:trHeight w:val="362"/>
          <w:jc w:val="center"/>
        </w:trPr>
        <w:tc>
          <w:tcPr>
            <w:tcW w:w="0" w:type="auto"/>
            <w:tcMar>
              <w:top w:w="0" w:type="dxa"/>
              <w:left w:w="45" w:type="dxa"/>
              <w:bottom w:w="0" w:type="dxa"/>
              <w:right w:w="45" w:type="dxa"/>
            </w:tcMar>
            <w:vAlign w:val="center"/>
            <w:hideMark/>
          </w:tcPr>
          <w:p w14:paraId="78982C16"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c</w:t>
            </w:r>
          </w:p>
        </w:tc>
        <w:tc>
          <w:tcPr>
            <w:tcW w:w="0" w:type="auto"/>
            <w:tcMar>
              <w:top w:w="0" w:type="dxa"/>
              <w:left w:w="45" w:type="dxa"/>
              <w:bottom w:w="0" w:type="dxa"/>
              <w:right w:w="45" w:type="dxa"/>
            </w:tcMar>
            <w:vAlign w:val="center"/>
            <w:hideMark/>
          </w:tcPr>
          <w:p w14:paraId="00E046B3"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Corporate Bonds (other than Bank Bonds)</w:t>
            </w:r>
          </w:p>
        </w:tc>
        <w:tc>
          <w:tcPr>
            <w:tcW w:w="0" w:type="auto"/>
            <w:tcMar>
              <w:top w:w="0" w:type="dxa"/>
              <w:left w:w="45" w:type="dxa"/>
              <w:bottom w:w="0" w:type="dxa"/>
              <w:right w:w="45" w:type="dxa"/>
            </w:tcMar>
            <w:vAlign w:val="center"/>
            <w:hideMark/>
          </w:tcPr>
          <w:p w14:paraId="3704FA80" w14:textId="77777777" w:rsidR="00AC0EFA" w:rsidRPr="00113001" w:rsidRDefault="00AC0EFA"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Table 16 - Part E(ii)</w:t>
            </w:r>
          </w:p>
        </w:tc>
      </w:tr>
    </w:tbl>
    <w:p w14:paraId="01081EAD" w14:textId="77777777" w:rsidR="00AC0EFA" w:rsidRPr="00113001" w:rsidRDefault="00AC0EFA" w:rsidP="004F2E3C">
      <w:pPr>
        <w:spacing w:after="0" w:line="240" w:lineRule="auto"/>
        <w:jc w:val="both"/>
        <w:rPr>
          <w:rFonts w:ascii="Cambria" w:hAnsi="Cambria"/>
          <w:sz w:val="24"/>
          <w:szCs w:val="24"/>
        </w:rPr>
      </w:pPr>
    </w:p>
    <w:p w14:paraId="690A3B1A" w14:textId="65156672" w:rsidR="00AC0EFA" w:rsidRPr="00113001" w:rsidRDefault="00AC0EFA" w:rsidP="004F2E3C">
      <w:pPr>
        <w:spacing w:after="0" w:line="240" w:lineRule="auto"/>
        <w:jc w:val="both"/>
        <w:rPr>
          <w:rFonts w:ascii="Cambria" w:hAnsi="Cambria"/>
          <w:sz w:val="24"/>
          <w:szCs w:val="24"/>
        </w:rPr>
      </w:pPr>
      <w:r w:rsidRPr="00113001">
        <w:rPr>
          <w:rFonts w:ascii="Cambria" w:hAnsi="Cambria"/>
          <w:sz w:val="24"/>
          <w:szCs w:val="24"/>
        </w:rPr>
        <w:t>b) In case of debt mutual fund/ETF which contains a mix of the above debt instruments, the specific risk capital charge shall be computed based on the lowest rated debt instrument/ instrument attracting the highest specific risk capital charge in the fund.</w:t>
      </w:r>
    </w:p>
    <w:p w14:paraId="488A328E" w14:textId="77777777" w:rsidR="00AC0EFA" w:rsidRPr="00113001" w:rsidRDefault="00AC0EFA" w:rsidP="004F2E3C">
      <w:pPr>
        <w:spacing w:after="0" w:line="240" w:lineRule="auto"/>
        <w:jc w:val="both"/>
        <w:rPr>
          <w:rFonts w:ascii="Cambria" w:hAnsi="Cambria"/>
          <w:sz w:val="24"/>
          <w:szCs w:val="24"/>
        </w:rPr>
      </w:pPr>
    </w:p>
    <w:p w14:paraId="0A7CEC28" w14:textId="0FF95643" w:rsidR="00006EDF" w:rsidRPr="00113001" w:rsidRDefault="00AC0EFA" w:rsidP="004F2E3C">
      <w:pPr>
        <w:spacing w:after="0" w:line="240" w:lineRule="auto"/>
        <w:jc w:val="both"/>
        <w:rPr>
          <w:rFonts w:ascii="Cambria" w:hAnsi="Cambria"/>
          <w:sz w:val="24"/>
          <w:szCs w:val="24"/>
        </w:rPr>
      </w:pPr>
      <w:r w:rsidRPr="00113001">
        <w:rPr>
          <w:rFonts w:ascii="Cambria" w:hAnsi="Cambria"/>
          <w:sz w:val="24"/>
          <w:szCs w:val="24"/>
        </w:rPr>
        <w:t>c) Debt mutual fund/ETF for which constituent debt details are not available, at least as of each month-end, shall continue to be treated on par with equity for computation of capital charge for market risk as prescribed in para 8.4.1 of Master Circular on Basel III Capital Regulations.</w:t>
      </w:r>
    </w:p>
    <w:p w14:paraId="6B6F0D92" w14:textId="1E6893F3" w:rsidR="004F2E3C" w:rsidRPr="00113001" w:rsidRDefault="004F2E3C" w:rsidP="004F2E3C">
      <w:pPr>
        <w:spacing w:after="0" w:line="240" w:lineRule="auto"/>
        <w:jc w:val="both"/>
        <w:rPr>
          <w:rFonts w:ascii="Cambria" w:hAnsi="Cambria"/>
          <w:sz w:val="24"/>
          <w:szCs w:val="24"/>
        </w:rPr>
      </w:pPr>
    </w:p>
    <w:p w14:paraId="0AFF8E9D"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2D009923" w14:textId="0AF32452" w:rsidR="004F2E3C" w:rsidRPr="00113001" w:rsidRDefault="00292908" w:rsidP="004F2E3C">
      <w:pPr>
        <w:spacing w:after="0" w:line="240" w:lineRule="auto"/>
        <w:jc w:val="both"/>
        <w:rPr>
          <w:rFonts w:ascii="Cambria" w:hAnsi="Cambria"/>
          <w:sz w:val="24"/>
          <w:szCs w:val="24"/>
        </w:rPr>
      </w:pPr>
      <w:hyperlink r:id="rId11" w:history="1">
        <w:r w:rsidR="004F2E3C" w:rsidRPr="00113001">
          <w:rPr>
            <w:rStyle w:val="Hyperlink"/>
            <w:rFonts w:ascii="Cambria" w:hAnsi="Cambria"/>
            <w:sz w:val="24"/>
            <w:szCs w:val="24"/>
          </w:rPr>
          <w:t>https://www.rbi.org.in/Scripts/NotificationUser.aspx?Id=11943&amp;Mode=0</w:t>
        </w:r>
      </w:hyperlink>
      <w:r w:rsidR="004F2E3C" w:rsidRPr="00113001">
        <w:rPr>
          <w:rFonts w:ascii="Cambria" w:hAnsi="Cambria"/>
          <w:sz w:val="24"/>
          <w:szCs w:val="24"/>
        </w:rPr>
        <w:t xml:space="preserve"> </w:t>
      </w:r>
    </w:p>
    <w:p w14:paraId="64A1FD45" w14:textId="6384EC18" w:rsidR="00902F9B" w:rsidRPr="00113001" w:rsidRDefault="00902F9B" w:rsidP="004F2E3C">
      <w:pPr>
        <w:pBdr>
          <w:bottom w:val="single" w:sz="12" w:space="1" w:color="auto"/>
        </w:pBdr>
        <w:spacing w:after="0" w:line="240" w:lineRule="auto"/>
        <w:jc w:val="both"/>
        <w:rPr>
          <w:rFonts w:ascii="Cambria" w:hAnsi="Cambria"/>
          <w:sz w:val="24"/>
          <w:szCs w:val="24"/>
        </w:rPr>
      </w:pPr>
    </w:p>
    <w:p w14:paraId="0B15C770" w14:textId="77777777" w:rsidR="006233B6" w:rsidRDefault="006233B6" w:rsidP="004F2E3C">
      <w:pPr>
        <w:spacing w:after="0" w:line="240" w:lineRule="auto"/>
        <w:jc w:val="both"/>
        <w:rPr>
          <w:rFonts w:ascii="Cambria" w:hAnsi="Cambria"/>
          <w:b/>
          <w:bCs/>
          <w:sz w:val="24"/>
          <w:szCs w:val="24"/>
        </w:rPr>
      </w:pPr>
    </w:p>
    <w:p w14:paraId="49D4EA2F" w14:textId="5B0C89F8" w:rsidR="00B24EBE" w:rsidRPr="00113001" w:rsidRDefault="00B24EBE" w:rsidP="004F2E3C">
      <w:pPr>
        <w:spacing w:after="0" w:line="240" w:lineRule="auto"/>
        <w:jc w:val="both"/>
        <w:rPr>
          <w:rFonts w:ascii="Cambria" w:hAnsi="Cambria"/>
          <w:b/>
          <w:bCs/>
          <w:sz w:val="24"/>
          <w:szCs w:val="24"/>
        </w:rPr>
      </w:pPr>
      <w:r w:rsidRPr="00113001">
        <w:rPr>
          <w:rFonts w:ascii="Cambria" w:hAnsi="Cambria"/>
          <w:b/>
          <w:bCs/>
          <w:sz w:val="24"/>
          <w:szCs w:val="24"/>
        </w:rPr>
        <w:t>Basel III Capital Regulations - Review of transitional arrangements</w:t>
      </w:r>
    </w:p>
    <w:p w14:paraId="58ACC748" w14:textId="77777777" w:rsidR="00D52BE8" w:rsidRPr="00113001" w:rsidRDefault="00D52BE8" w:rsidP="004F2E3C">
      <w:pPr>
        <w:spacing w:after="0" w:line="240" w:lineRule="auto"/>
        <w:jc w:val="both"/>
        <w:rPr>
          <w:rFonts w:ascii="Cambria" w:hAnsi="Cambria"/>
          <w:sz w:val="24"/>
          <w:szCs w:val="24"/>
        </w:rPr>
      </w:pPr>
    </w:p>
    <w:p w14:paraId="234C5AE6" w14:textId="0198A98A"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RBI/2020-21/42 </w:t>
      </w:r>
      <w:proofErr w:type="spellStart"/>
      <w:r w:rsidRPr="00113001">
        <w:rPr>
          <w:rFonts w:ascii="Cambria" w:hAnsi="Cambria"/>
          <w:sz w:val="24"/>
          <w:szCs w:val="24"/>
        </w:rPr>
        <w:t>DOR.BP.BC.No15</w:t>
      </w:r>
      <w:proofErr w:type="spellEnd"/>
      <w:r w:rsidRPr="00113001">
        <w:rPr>
          <w:rFonts w:ascii="Cambria" w:hAnsi="Cambria"/>
          <w:sz w:val="24"/>
          <w:szCs w:val="24"/>
        </w:rPr>
        <w:t>/21.06.201/2020-21</w:t>
      </w:r>
    </w:p>
    <w:p w14:paraId="39B1CE27"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September 29, 2020</w:t>
      </w:r>
    </w:p>
    <w:p w14:paraId="753E8395" w14:textId="77777777" w:rsidR="00B24EBE" w:rsidRPr="00113001" w:rsidRDefault="00B24EBE" w:rsidP="004F2E3C">
      <w:pPr>
        <w:spacing w:after="0" w:line="240" w:lineRule="auto"/>
        <w:jc w:val="both"/>
        <w:rPr>
          <w:rFonts w:ascii="Cambria" w:hAnsi="Cambria"/>
          <w:sz w:val="24"/>
          <w:szCs w:val="24"/>
        </w:rPr>
      </w:pPr>
    </w:p>
    <w:p w14:paraId="279A68F9" w14:textId="36B0550F"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All Commercial Banks (Excluding Small Finance Banks, Payment Banks, </w:t>
      </w:r>
      <w:proofErr w:type="spellStart"/>
      <w:r w:rsidRPr="00113001">
        <w:rPr>
          <w:rFonts w:ascii="Cambria" w:hAnsi="Cambria"/>
          <w:sz w:val="24"/>
          <w:szCs w:val="24"/>
        </w:rPr>
        <w:t>RRBs</w:t>
      </w:r>
      <w:proofErr w:type="spellEnd"/>
      <w:r w:rsidRPr="00113001">
        <w:rPr>
          <w:rFonts w:ascii="Cambria" w:hAnsi="Cambria"/>
          <w:sz w:val="24"/>
          <w:szCs w:val="24"/>
        </w:rPr>
        <w:t xml:space="preserve"> and </w:t>
      </w:r>
      <w:proofErr w:type="spellStart"/>
      <w:r w:rsidRPr="00113001">
        <w:rPr>
          <w:rFonts w:ascii="Cambria" w:hAnsi="Cambria"/>
          <w:sz w:val="24"/>
          <w:szCs w:val="24"/>
        </w:rPr>
        <w:t>LABs</w:t>
      </w:r>
      <w:proofErr w:type="spellEnd"/>
      <w:r w:rsidRPr="00113001">
        <w:rPr>
          <w:rFonts w:ascii="Cambria" w:hAnsi="Cambria"/>
          <w:sz w:val="24"/>
          <w:szCs w:val="24"/>
        </w:rPr>
        <w:t>)</w:t>
      </w:r>
    </w:p>
    <w:p w14:paraId="69B9D79F" w14:textId="77777777" w:rsidR="00B24EBE" w:rsidRPr="00113001" w:rsidRDefault="00B24EBE" w:rsidP="004F2E3C">
      <w:pPr>
        <w:spacing w:after="0" w:line="240" w:lineRule="auto"/>
        <w:jc w:val="both"/>
        <w:rPr>
          <w:rFonts w:ascii="Cambria" w:hAnsi="Cambria"/>
          <w:sz w:val="24"/>
          <w:szCs w:val="24"/>
        </w:rPr>
      </w:pPr>
    </w:p>
    <w:p w14:paraId="19E40AAC"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Please refer to circular </w:t>
      </w:r>
      <w:proofErr w:type="spellStart"/>
      <w:r w:rsidRPr="00113001">
        <w:rPr>
          <w:rFonts w:ascii="Cambria" w:hAnsi="Cambria"/>
          <w:sz w:val="24"/>
          <w:szCs w:val="24"/>
        </w:rPr>
        <w:t>DOR.BP.BC.No.45</w:t>
      </w:r>
      <w:proofErr w:type="spellEnd"/>
      <w:r w:rsidRPr="00113001">
        <w:rPr>
          <w:rFonts w:ascii="Cambria" w:hAnsi="Cambria"/>
          <w:sz w:val="24"/>
          <w:szCs w:val="24"/>
        </w:rPr>
        <w:t xml:space="preserve">/21.06.201/2019-20 dated March 27, 2020 on ‘Basel III Capital Regulations - Review of transitional </w:t>
      </w:r>
      <w:proofErr w:type="gramStart"/>
      <w:r w:rsidRPr="00113001">
        <w:rPr>
          <w:rFonts w:ascii="Cambria" w:hAnsi="Cambria"/>
          <w:sz w:val="24"/>
          <w:szCs w:val="24"/>
        </w:rPr>
        <w:t>arrangements’</w:t>
      </w:r>
      <w:proofErr w:type="gramEnd"/>
      <w:r w:rsidRPr="00113001">
        <w:rPr>
          <w:rFonts w:ascii="Cambria" w:hAnsi="Cambria"/>
          <w:sz w:val="24"/>
          <w:szCs w:val="24"/>
        </w:rPr>
        <w:t>.</w:t>
      </w:r>
    </w:p>
    <w:p w14:paraId="5C7A3AAE" w14:textId="77777777" w:rsidR="00B24EBE" w:rsidRPr="00113001" w:rsidRDefault="00B24EBE" w:rsidP="004F2E3C">
      <w:pPr>
        <w:spacing w:after="0" w:line="240" w:lineRule="auto"/>
        <w:jc w:val="both"/>
        <w:rPr>
          <w:rFonts w:ascii="Cambria" w:hAnsi="Cambria"/>
          <w:sz w:val="24"/>
          <w:szCs w:val="24"/>
        </w:rPr>
      </w:pPr>
    </w:p>
    <w:p w14:paraId="582A0904"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2. In view of the continuing stress on account of COVID-19, it has been decided to defer the implementation of the last tranche of 0.625 per cent of the Capital Conservation Buffer (</w:t>
      </w:r>
      <w:proofErr w:type="spellStart"/>
      <w:r w:rsidRPr="00113001">
        <w:rPr>
          <w:rFonts w:ascii="Cambria" w:hAnsi="Cambria"/>
          <w:sz w:val="24"/>
          <w:szCs w:val="24"/>
        </w:rPr>
        <w:t>CCB</w:t>
      </w:r>
      <w:proofErr w:type="spellEnd"/>
      <w:r w:rsidRPr="00113001">
        <w:rPr>
          <w:rFonts w:ascii="Cambria" w:hAnsi="Cambria"/>
          <w:sz w:val="24"/>
          <w:szCs w:val="24"/>
        </w:rPr>
        <w:t xml:space="preserve">) from September 30, 2020 to April 1, 2021. Accordingly, the minimum capital conservation ratios in para 15.2.2 of Part D ‘Capital Conservation Buffer Framework’ of Master Circular, </w:t>
      </w:r>
      <w:proofErr w:type="spellStart"/>
      <w:r w:rsidRPr="00113001">
        <w:rPr>
          <w:rFonts w:ascii="Cambria" w:hAnsi="Cambria"/>
          <w:sz w:val="24"/>
          <w:szCs w:val="24"/>
        </w:rPr>
        <w:t>DBR.No.BP.BC.1</w:t>
      </w:r>
      <w:proofErr w:type="spellEnd"/>
      <w:r w:rsidRPr="00113001">
        <w:rPr>
          <w:rFonts w:ascii="Cambria" w:hAnsi="Cambria"/>
          <w:sz w:val="24"/>
          <w:szCs w:val="24"/>
        </w:rPr>
        <w:t xml:space="preserve">/21.06.201/2015-16 dated July 1, 2015 on ‘Basel III Capital Regulations’, shall continue to apply till the </w:t>
      </w:r>
      <w:proofErr w:type="spellStart"/>
      <w:r w:rsidRPr="00113001">
        <w:rPr>
          <w:rFonts w:ascii="Cambria" w:hAnsi="Cambria"/>
          <w:sz w:val="24"/>
          <w:szCs w:val="24"/>
        </w:rPr>
        <w:t>CCB</w:t>
      </w:r>
      <w:proofErr w:type="spellEnd"/>
      <w:r w:rsidRPr="00113001">
        <w:rPr>
          <w:rFonts w:ascii="Cambria" w:hAnsi="Cambria"/>
          <w:sz w:val="24"/>
          <w:szCs w:val="24"/>
        </w:rPr>
        <w:t xml:space="preserve"> attains the level of 2.5 per cent on April 1, 2021.</w:t>
      </w:r>
    </w:p>
    <w:p w14:paraId="5FA8B631" w14:textId="77777777" w:rsidR="00B24EBE" w:rsidRPr="00113001" w:rsidRDefault="00B24EBE" w:rsidP="004F2E3C">
      <w:pPr>
        <w:spacing w:after="0" w:line="240" w:lineRule="auto"/>
        <w:jc w:val="both"/>
        <w:rPr>
          <w:rFonts w:ascii="Cambria" w:hAnsi="Cambria"/>
          <w:sz w:val="24"/>
          <w:szCs w:val="24"/>
        </w:rPr>
      </w:pPr>
    </w:p>
    <w:p w14:paraId="6DCA9B3B" w14:textId="25BBF33F"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3. The pre-specified trigger for loss absorption through conversion / write-down of Additional Tier 1 instruments (Perpetual Non-Convertible Preference Shares and Perpetual Debt Instruments), shall remain at 5.5 per cent of risk weighted assets (</w:t>
      </w:r>
      <w:proofErr w:type="spellStart"/>
      <w:r w:rsidRPr="00113001">
        <w:rPr>
          <w:rFonts w:ascii="Cambria" w:hAnsi="Cambria"/>
          <w:sz w:val="24"/>
          <w:szCs w:val="24"/>
        </w:rPr>
        <w:t>RWAs</w:t>
      </w:r>
      <w:proofErr w:type="spellEnd"/>
      <w:r w:rsidRPr="00113001">
        <w:rPr>
          <w:rFonts w:ascii="Cambria" w:hAnsi="Cambria"/>
          <w:sz w:val="24"/>
          <w:szCs w:val="24"/>
        </w:rPr>
        <w:t xml:space="preserve">) and will rise to 6.125 per cent of </w:t>
      </w:r>
      <w:proofErr w:type="spellStart"/>
      <w:r w:rsidRPr="00113001">
        <w:rPr>
          <w:rFonts w:ascii="Cambria" w:hAnsi="Cambria"/>
          <w:sz w:val="24"/>
          <w:szCs w:val="24"/>
        </w:rPr>
        <w:t>RWAs</w:t>
      </w:r>
      <w:proofErr w:type="spellEnd"/>
      <w:r w:rsidRPr="00113001">
        <w:rPr>
          <w:rFonts w:ascii="Cambria" w:hAnsi="Cambria"/>
          <w:sz w:val="24"/>
          <w:szCs w:val="24"/>
        </w:rPr>
        <w:t xml:space="preserve"> from April 1, 2021.</w:t>
      </w:r>
    </w:p>
    <w:p w14:paraId="366F86B6" w14:textId="6F8FD140" w:rsidR="00B24EBE" w:rsidRPr="00113001" w:rsidRDefault="00B24EBE" w:rsidP="004F2E3C">
      <w:pPr>
        <w:pBdr>
          <w:bottom w:val="single" w:sz="12" w:space="1" w:color="auto"/>
        </w:pBdr>
        <w:spacing w:after="0" w:line="240" w:lineRule="auto"/>
        <w:jc w:val="both"/>
        <w:rPr>
          <w:rFonts w:ascii="Cambria" w:hAnsi="Cambria"/>
          <w:sz w:val="24"/>
          <w:szCs w:val="24"/>
        </w:rPr>
      </w:pPr>
    </w:p>
    <w:p w14:paraId="695DD559" w14:textId="4FCEB2E3" w:rsidR="00B24EBE" w:rsidRPr="00113001" w:rsidRDefault="00B24EBE" w:rsidP="004F2E3C">
      <w:pPr>
        <w:spacing w:after="0" w:line="240" w:lineRule="auto"/>
        <w:jc w:val="both"/>
        <w:rPr>
          <w:rFonts w:ascii="Cambria" w:hAnsi="Cambria"/>
          <w:sz w:val="24"/>
          <w:szCs w:val="24"/>
        </w:rPr>
      </w:pPr>
    </w:p>
    <w:p w14:paraId="68708498" w14:textId="5221DFF1" w:rsidR="00B24EBE" w:rsidRPr="00113001" w:rsidRDefault="00B24EBE" w:rsidP="004F2E3C">
      <w:pPr>
        <w:spacing w:after="0" w:line="240" w:lineRule="auto"/>
        <w:jc w:val="both"/>
        <w:rPr>
          <w:rFonts w:ascii="Cambria" w:hAnsi="Cambria"/>
          <w:b/>
          <w:bCs/>
          <w:sz w:val="24"/>
          <w:szCs w:val="24"/>
        </w:rPr>
      </w:pPr>
      <w:r w:rsidRPr="00113001">
        <w:rPr>
          <w:rFonts w:ascii="Cambria" w:hAnsi="Cambria"/>
          <w:b/>
          <w:bCs/>
          <w:sz w:val="24"/>
          <w:szCs w:val="24"/>
        </w:rPr>
        <w:t>Basel III Framework on Liquidity Standards – Net Stable Funding Ratio (</w:t>
      </w:r>
      <w:proofErr w:type="spellStart"/>
      <w:r w:rsidRPr="00113001">
        <w:rPr>
          <w:rFonts w:ascii="Cambria" w:hAnsi="Cambria"/>
          <w:b/>
          <w:bCs/>
          <w:sz w:val="24"/>
          <w:szCs w:val="24"/>
        </w:rPr>
        <w:t>NSFR</w:t>
      </w:r>
      <w:proofErr w:type="spellEnd"/>
      <w:r w:rsidRPr="00113001">
        <w:rPr>
          <w:rFonts w:ascii="Cambria" w:hAnsi="Cambria"/>
          <w:b/>
          <w:bCs/>
          <w:sz w:val="24"/>
          <w:szCs w:val="24"/>
        </w:rPr>
        <w:t>)</w:t>
      </w:r>
    </w:p>
    <w:p w14:paraId="1EFB6DD7" w14:textId="77777777" w:rsidR="00D52BE8" w:rsidRPr="00113001" w:rsidRDefault="00D52BE8" w:rsidP="004F2E3C">
      <w:pPr>
        <w:spacing w:after="0" w:line="240" w:lineRule="auto"/>
        <w:jc w:val="both"/>
        <w:rPr>
          <w:rFonts w:ascii="Cambria" w:hAnsi="Cambria"/>
          <w:sz w:val="24"/>
          <w:szCs w:val="24"/>
        </w:rPr>
      </w:pPr>
    </w:p>
    <w:p w14:paraId="5280A647" w14:textId="7765FF2E"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RBI/2020-21/43 </w:t>
      </w:r>
      <w:proofErr w:type="spellStart"/>
      <w:r w:rsidRPr="00113001">
        <w:rPr>
          <w:rFonts w:ascii="Cambria" w:hAnsi="Cambria"/>
          <w:sz w:val="24"/>
          <w:szCs w:val="24"/>
        </w:rPr>
        <w:t>DOR.BP.BC.No.16</w:t>
      </w:r>
      <w:proofErr w:type="spellEnd"/>
      <w:r w:rsidRPr="00113001">
        <w:rPr>
          <w:rFonts w:ascii="Cambria" w:hAnsi="Cambria"/>
          <w:sz w:val="24"/>
          <w:szCs w:val="24"/>
        </w:rPr>
        <w:t>/21.04.098/2020-21</w:t>
      </w:r>
    </w:p>
    <w:p w14:paraId="0E1611A2"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September 29, 2020</w:t>
      </w:r>
    </w:p>
    <w:p w14:paraId="7FAF3B08" w14:textId="77777777" w:rsidR="00B24EBE" w:rsidRPr="00113001" w:rsidRDefault="00B24EBE" w:rsidP="004F2E3C">
      <w:pPr>
        <w:spacing w:after="0" w:line="240" w:lineRule="auto"/>
        <w:jc w:val="both"/>
        <w:rPr>
          <w:rFonts w:ascii="Cambria" w:hAnsi="Cambria"/>
          <w:sz w:val="24"/>
          <w:szCs w:val="24"/>
        </w:rPr>
      </w:pPr>
    </w:p>
    <w:p w14:paraId="2C663B26" w14:textId="45906C4B"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All Commercial Banks (excluding Regional Rural Banks, Local Area </w:t>
      </w:r>
      <w:proofErr w:type="gramStart"/>
      <w:r w:rsidRPr="00113001">
        <w:rPr>
          <w:rFonts w:ascii="Cambria" w:hAnsi="Cambria"/>
          <w:sz w:val="24"/>
          <w:szCs w:val="24"/>
        </w:rPr>
        <w:t>Banks</w:t>
      </w:r>
      <w:proofErr w:type="gramEnd"/>
      <w:r w:rsidRPr="00113001">
        <w:rPr>
          <w:rFonts w:ascii="Cambria" w:hAnsi="Cambria"/>
          <w:sz w:val="24"/>
          <w:szCs w:val="24"/>
        </w:rPr>
        <w:t xml:space="preserve"> and Payments Banks)</w:t>
      </w:r>
    </w:p>
    <w:p w14:paraId="68F7E570" w14:textId="77777777" w:rsidR="00B24EBE" w:rsidRPr="00113001" w:rsidRDefault="00B24EBE" w:rsidP="004F2E3C">
      <w:pPr>
        <w:spacing w:after="0" w:line="240" w:lineRule="auto"/>
        <w:jc w:val="both"/>
        <w:rPr>
          <w:rFonts w:ascii="Cambria" w:hAnsi="Cambria"/>
          <w:sz w:val="24"/>
          <w:szCs w:val="24"/>
        </w:rPr>
      </w:pPr>
    </w:p>
    <w:p w14:paraId="1A31807B"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Please refer to our circular </w:t>
      </w:r>
      <w:proofErr w:type="spellStart"/>
      <w:r w:rsidRPr="00113001">
        <w:rPr>
          <w:rFonts w:ascii="Cambria" w:hAnsi="Cambria"/>
          <w:sz w:val="24"/>
          <w:szCs w:val="24"/>
        </w:rPr>
        <w:t>DOR.BP.BC.No.46</w:t>
      </w:r>
      <w:proofErr w:type="spellEnd"/>
      <w:r w:rsidRPr="00113001">
        <w:rPr>
          <w:rFonts w:ascii="Cambria" w:hAnsi="Cambria"/>
          <w:sz w:val="24"/>
          <w:szCs w:val="24"/>
        </w:rPr>
        <w:t>/21.04.098/2019-20 dated March 27, 2020 on Net Stable Funding Ratio (</w:t>
      </w:r>
      <w:proofErr w:type="spellStart"/>
      <w:r w:rsidRPr="00113001">
        <w:rPr>
          <w:rFonts w:ascii="Cambria" w:hAnsi="Cambria"/>
          <w:sz w:val="24"/>
          <w:szCs w:val="24"/>
        </w:rPr>
        <w:t>NSFR</w:t>
      </w:r>
      <w:proofErr w:type="spellEnd"/>
      <w:r w:rsidRPr="00113001">
        <w:rPr>
          <w:rFonts w:ascii="Cambria" w:hAnsi="Cambria"/>
          <w:sz w:val="24"/>
          <w:szCs w:val="24"/>
        </w:rPr>
        <w:t>) guidelines.</w:t>
      </w:r>
    </w:p>
    <w:p w14:paraId="781AB078" w14:textId="77777777" w:rsidR="00B24EBE" w:rsidRPr="00113001" w:rsidRDefault="00B24EBE" w:rsidP="004F2E3C">
      <w:pPr>
        <w:spacing w:after="0" w:line="240" w:lineRule="auto"/>
        <w:jc w:val="both"/>
        <w:rPr>
          <w:rFonts w:ascii="Cambria" w:hAnsi="Cambria"/>
          <w:sz w:val="24"/>
          <w:szCs w:val="24"/>
        </w:rPr>
      </w:pPr>
    </w:p>
    <w:p w14:paraId="47B19C76" w14:textId="50976345"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2. In view of the continued uncertainty on account of COVID-19, on a review, it has been decided to defer the implementation of </w:t>
      </w:r>
      <w:proofErr w:type="spellStart"/>
      <w:r w:rsidRPr="00113001">
        <w:rPr>
          <w:rFonts w:ascii="Cambria" w:hAnsi="Cambria"/>
          <w:sz w:val="24"/>
          <w:szCs w:val="24"/>
        </w:rPr>
        <w:t>NSFR</w:t>
      </w:r>
      <w:proofErr w:type="spellEnd"/>
      <w:r w:rsidRPr="00113001">
        <w:rPr>
          <w:rFonts w:ascii="Cambria" w:hAnsi="Cambria"/>
          <w:sz w:val="24"/>
          <w:szCs w:val="24"/>
        </w:rPr>
        <w:t xml:space="preserve"> guidelines by a further period of six months. These guidelines shall now come into effect from April 1, 2021.</w:t>
      </w:r>
    </w:p>
    <w:p w14:paraId="5AC828BA" w14:textId="4BCF5F88" w:rsidR="00B24EBE" w:rsidRPr="00113001" w:rsidRDefault="00B24EBE" w:rsidP="004F2E3C">
      <w:pPr>
        <w:pBdr>
          <w:bottom w:val="single" w:sz="12" w:space="1" w:color="auto"/>
        </w:pBdr>
        <w:spacing w:after="0" w:line="240" w:lineRule="auto"/>
        <w:jc w:val="both"/>
        <w:rPr>
          <w:rFonts w:ascii="Cambria" w:hAnsi="Cambria"/>
          <w:sz w:val="24"/>
          <w:szCs w:val="24"/>
        </w:rPr>
      </w:pPr>
    </w:p>
    <w:p w14:paraId="4059604D" w14:textId="77777777" w:rsidR="006233B6" w:rsidRDefault="006233B6" w:rsidP="004F2E3C">
      <w:pPr>
        <w:spacing w:after="0" w:line="240" w:lineRule="auto"/>
        <w:jc w:val="both"/>
        <w:rPr>
          <w:rFonts w:ascii="Cambria" w:hAnsi="Cambria"/>
          <w:b/>
          <w:bCs/>
          <w:sz w:val="24"/>
          <w:szCs w:val="24"/>
        </w:rPr>
      </w:pPr>
    </w:p>
    <w:p w14:paraId="3D4FA06A" w14:textId="177360E8" w:rsidR="00C72793" w:rsidRPr="00113001" w:rsidRDefault="00C72793" w:rsidP="004F2E3C">
      <w:pPr>
        <w:spacing w:after="0" w:line="240" w:lineRule="auto"/>
        <w:jc w:val="both"/>
        <w:rPr>
          <w:rFonts w:ascii="Cambria" w:hAnsi="Cambria"/>
          <w:b/>
          <w:bCs/>
          <w:sz w:val="24"/>
          <w:szCs w:val="24"/>
        </w:rPr>
      </w:pPr>
      <w:r w:rsidRPr="00113001">
        <w:rPr>
          <w:rFonts w:ascii="Cambria" w:hAnsi="Cambria"/>
          <w:b/>
          <w:bCs/>
          <w:sz w:val="24"/>
          <w:szCs w:val="24"/>
        </w:rPr>
        <w:t>Ad-hoc/Short Review/Renewal of Credit Facilities</w:t>
      </w:r>
    </w:p>
    <w:p w14:paraId="26EDACFE" w14:textId="77777777" w:rsidR="00D52BE8" w:rsidRPr="00113001" w:rsidRDefault="00D52BE8" w:rsidP="004F2E3C">
      <w:pPr>
        <w:spacing w:after="0" w:line="240" w:lineRule="auto"/>
        <w:jc w:val="both"/>
        <w:rPr>
          <w:rFonts w:ascii="Cambria" w:hAnsi="Cambria"/>
          <w:sz w:val="24"/>
          <w:szCs w:val="24"/>
        </w:rPr>
      </w:pPr>
    </w:p>
    <w:p w14:paraId="026812EB" w14:textId="5E7418F1"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RBI/2020-21/27 </w:t>
      </w:r>
      <w:proofErr w:type="spellStart"/>
      <w:r w:rsidRPr="00113001">
        <w:rPr>
          <w:rFonts w:ascii="Cambria" w:hAnsi="Cambria"/>
          <w:sz w:val="24"/>
          <w:szCs w:val="24"/>
        </w:rPr>
        <w:t>DoS.CO.PPG.BC.1</w:t>
      </w:r>
      <w:proofErr w:type="spellEnd"/>
      <w:r w:rsidRPr="00113001">
        <w:rPr>
          <w:rFonts w:ascii="Cambria" w:hAnsi="Cambria"/>
          <w:sz w:val="24"/>
          <w:szCs w:val="24"/>
        </w:rPr>
        <w:t>/11.01.005/2020-21</w:t>
      </w:r>
    </w:p>
    <w:p w14:paraId="3D6030E1"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August 21, 2020</w:t>
      </w:r>
    </w:p>
    <w:p w14:paraId="2E40082C" w14:textId="77777777" w:rsidR="00C72793" w:rsidRPr="00113001" w:rsidRDefault="00C72793" w:rsidP="004F2E3C">
      <w:pPr>
        <w:spacing w:after="0" w:line="240" w:lineRule="auto"/>
        <w:jc w:val="both"/>
        <w:rPr>
          <w:rFonts w:ascii="Cambria" w:hAnsi="Cambria"/>
          <w:sz w:val="24"/>
          <w:szCs w:val="24"/>
        </w:rPr>
      </w:pPr>
    </w:p>
    <w:p w14:paraId="1DE07556" w14:textId="68DAC022"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All Scheduled Commercial Banks (excluding </w:t>
      </w:r>
      <w:proofErr w:type="spellStart"/>
      <w:r w:rsidRPr="00113001">
        <w:rPr>
          <w:rFonts w:ascii="Cambria" w:hAnsi="Cambria"/>
          <w:sz w:val="24"/>
          <w:szCs w:val="24"/>
        </w:rPr>
        <w:t>RRBs</w:t>
      </w:r>
      <w:proofErr w:type="spellEnd"/>
      <w:r w:rsidRPr="00113001">
        <w:rPr>
          <w:rFonts w:ascii="Cambria" w:hAnsi="Cambria"/>
          <w:sz w:val="24"/>
          <w:szCs w:val="24"/>
        </w:rPr>
        <w:t>) / All Small Finance Banks /All Urban Cooperative Banks</w:t>
      </w:r>
    </w:p>
    <w:p w14:paraId="47022CFF" w14:textId="77777777" w:rsidR="00C72793" w:rsidRPr="00113001" w:rsidRDefault="00C72793" w:rsidP="004F2E3C">
      <w:pPr>
        <w:spacing w:after="0" w:line="240" w:lineRule="auto"/>
        <w:jc w:val="both"/>
        <w:rPr>
          <w:rFonts w:ascii="Cambria" w:hAnsi="Cambria"/>
          <w:sz w:val="24"/>
          <w:szCs w:val="24"/>
        </w:rPr>
      </w:pPr>
    </w:p>
    <w:p w14:paraId="4C3943C7"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In terms of circular </w:t>
      </w:r>
      <w:proofErr w:type="spellStart"/>
      <w:r w:rsidRPr="00113001">
        <w:rPr>
          <w:rFonts w:ascii="Cambria" w:hAnsi="Cambria"/>
          <w:sz w:val="24"/>
          <w:szCs w:val="24"/>
        </w:rPr>
        <w:t>DBOD.No.BP</w:t>
      </w:r>
      <w:proofErr w:type="spellEnd"/>
      <w:r w:rsidRPr="00113001">
        <w:rPr>
          <w:rFonts w:ascii="Cambria" w:hAnsi="Cambria"/>
          <w:sz w:val="24"/>
          <w:szCs w:val="24"/>
        </w:rPr>
        <w:t>.(SC).</w:t>
      </w:r>
      <w:proofErr w:type="spellStart"/>
      <w:r w:rsidRPr="00113001">
        <w:rPr>
          <w:rFonts w:ascii="Cambria" w:hAnsi="Cambria"/>
          <w:sz w:val="24"/>
          <w:szCs w:val="24"/>
        </w:rPr>
        <w:t>BC.98</w:t>
      </w:r>
      <w:proofErr w:type="spellEnd"/>
      <w:r w:rsidRPr="00113001">
        <w:rPr>
          <w:rFonts w:ascii="Cambria" w:hAnsi="Cambria"/>
          <w:sz w:val="24"/>
          <w:szCs w:val="24"/>
        </w:rPr>
        <w:t>/21.04.103/99 dated October 7, 1999 on Risk Management System in Banks, Scheduled Commercial Banks (SCBs) are required to put in place a board approved credit policy, which, inter alia, should prescribe the periodicity and methodology of review/renewal of credit facilities. The policy should also prescribe differential time schedules for review/renewal of borrower limits so that lower rated borrowers whose financials show signs of problems are subjected to renewal control more frequently. The Master Circular for Urban Cooperative Banks (UCBs) on Management of Advances – UCBs dated July 1, 2015, requires all UCBs to lay down policy guidelines for periodic review of the working capital limits.</w:t>
      </w:r>
    </w:p>
    <w:p w14:paraId="4BEA0514" w14:textId="77777777" w:rsidR="00C72793" w:rsidRPr="00113001" w:rsidRDefault="00C72793" w:rsidP="004F2E3C">
      <w:pPr>
        <w:spacing w:after="0" w:line="240" w:lineRule="auto"/>
        <w:jc w:val="both"/>
        <w:rPr>
          <w:rFonts w:ascii="Cambria" w:hAnsi="Cambria"/>
          <w:sz w:val="24"/>
          <w:szCs w:val="24"/>
        </w:rPr>
      </w:pPr>
    </w:p>
    <w:p w14:paraId="6BD1BDA9"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2. Further, in terms of the Master Circular </w:t>
      </w:r>
      <w:proofErr w:type="spellStart"/>
      <w:r w:rsidRPr="00113001">
        <w:rPr>
          <w:rFonts w:ascii="Cambria" w:hAnsi="Cambria"/>
          <w:sz w:val="24"/>
          <w:szCs w:val="24"/>
        </w:rPr>
        <w:t>DBR.No.BP.BC.2</w:t>
      </w:r>
      <w:proofErr w:type="spellEnd"/>
      <w:r w:rsidRPr="00113001">
        <w:rPr>
          <w:rFonts w:ascii="Cambria" w:hAnsi="Cambria"/>
          <w:sz w:val="24"/>
          <w:szCs w:val="24"/>
        </w:rPr>
        <w:t xml:space="preserve">/21.04.048/2015-16 dated July 1, 2015 on Prudential norms on Income Recognition, Asset Classification and Provisioning pertaining to Advances and the Master Circular </w:t>
      </w:r>
      <w:proofErr w:type="spellStart"/>
      <w:r w:rsidRPr="00113001">
        <w:rPr>
          <w:rFonts w:ascii="Cambria" w:hAnsi="Cambria"/>
          <w:sz w:val="24"/>
          <w:szCs w:val="24"/>
        </w:rPr>
        <w:t>DCBR.BPD</w:t>
      </w:r>
      <w:proofErr w:type="spellEnd"/>
      <w:r w:rsidRPr="00113001">
        <w:rPr>
          <w:rFonts w:ascii="Cambria" w:hAnsi="Cambria"/>
          <w:sz w:val="24"/>
          <w:szCs w:val="24"/>
        </w:rPr>
        <w:t xml:space="preserve">. (PCB) MC </w:t>
      </w:r>
      <w:proofErr w:type="spellStart"/>
      <w:r w:rsidRPr="00113001">
        <w:rPr>
          <w:rFonts w:ascii="Cambria" w:hAnsi="Cambria"/>
          <w:sz w:val="24"/>
          <w:szCs w:val="24"/>
        </w:rPr>
        <w:t>No.12</w:t>
      </w:r>
      <w:proofErr w:type="spellEnd"/>
      <w:r w:rsidRPr="00113001">
        <w:rPr>
          <w:rFonts w:ascii="Cambria" w:hAnsi="Cambria"/>
          <w:sz w:val="24"/>
          <w:szCs w:val="24"/>
        </w:rPr>
        <w:t>/09.14.000/2015-16 dated July 1, 2015 on Income Recognition, Asset Classification, Provisioning and Other Related Matters – UCBs as applicable to SCBs and UCBs respectively, an account where the regular/ad-hoc credit limits have not been reviewed/renewed within the prescribed timeline from the due date/date of ad-hoc sanction will be treated as Non-Performing Asset.</w:t>
      </w:r>
    </w:p>
    <w:p w14:paraId="6865DDB9" w14:textId="77777777" w:rsidR="00C72793" w:rsidRPr="00113001" w:rsidRDefault="00C72793" w:rsidP="004F2E3C">
      <w:pPr>
        <w:spacing w:after="0" w:line="240" w:lineRule="auto"/>
        <w:jc w:val="both"/>
        <w:rPr>
          <w:rFonts w:ascii="Cambria" w:hAnsi="Cambria"/>
          <w:sz w:val="24"/>
          <w:szCs w:val="24"/>
        </w:rPr>
      </w:pPr>
    </w:p>
    <w:p w14:paraId="26F8009D"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3. Banks are, therefore, expected to have a detailed Board approved policy on methodology and periodicity for review/renewal of credit facilities within the overall regulatory guidelines, and adhere to the same strictly.</w:t>
      </w:r>
    </w:p>
    <w:p w14:paraId="133C4AEC" w14:textId="77777777" w:rsidR="00C72793" w:rsidRPr="00113001" w:rsidRDefault="00C72793" w:rsidP="004F2E3C">
      <w:pPr>
        <w:spacing w:after="0" w:line="240" w:lineRule="auto"/>
        <w:jc w:val="both"/>
        <w:rPr>
          <w:rFonts w:ascii="Cambria" w:hAnsi="Cambria"/>
          <w:sz w:val="24"/>
          <w:szCs w:val="24"/>
        </w:rPr>
      </w:pPr>
    </w:p>
    <w:p w14:paraId="0B1308F1"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4. However, an analysis of practices followed by the lenders while reviewing/renewing credit facilities has brought out certain supervisory concerns, including that of frequent/repeated ad-hoc review/renewal of credit facilities instead of regular review/renewals, non-capturing and/or inaccurate capturing of review/renewal data in the banking/information systems, and non-coverage of review/renewal activities under the concurrent audit/internal audit mechanism.</w:t>
      </w:r>
    </w:p>
    <w:p w14:paraId="744ACAC8" w14:textId="77777777" w:rsidR="00C72793" w:rsidRPr="00113001" w:rsidRDefault="00C72793" w:rsidP="004F2E3C">
      <w:pPr>
        <w:spacing w:after="0" w:line="240" w:lineRule="auto"/>
        <w:jc w:val="both"/>
        <w:rPr>
          <w:rFonts w:ascii="Cambria" w:hAnsi="Cambria"/>
          <w:sz w:val="24"/>
          <w:szCs w:val="24"/>
        </w:rPr>
      </w:pPr>
    </w:p>
    <w:p w14:paraId="74525490"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5. In this connection, we reiterate that timely and comprehensive review/renewal of credit facilities should be an integral part of the Board approved loan policy and credit risk management framework, and banks should avoid frequent and repeated ad-hoc/short review/renewal of credit facilities without justifiable reasons. Banks are also advised to capture all the data relating to regular as well as ad-hoc/short review/renewal of credit facilities in their core banking systems/management information systems and make the same available for scrutiny as and when required by any audit or inspection by Auditors/RBI. Further, the processes governing review/renewal of credit facilities should be brought under the scope of concurrent/internal audit/internal control mechanism of banks with immediate effect.</w:t>
      </w:r>
    </w:p>
    <w:p w14:paraId="15830689" w14:textId="77777777" w:rsidR="00C72793" w:rsidRPr="00113001" w:rsidRDefault="00C72793" w:rsidP="004F2E3C">
      <w:pPr>
        <w:spacing w:after="0" w:line="240" w:lineRule="auto"/>
        <w:jc w:val="both"/>
        <w:rPr>
          <w:rFonts w:ascii="Cambria" w:hAnsi="Cambria"/>
          <w:sz w:val="24"/>
          <w:szCs w:val="24"/>
        </w:rPr>
      </w:pPr>
    </w:p>
    <w:p w14:paraId="6B341D60" w14:textId="2B09B437" w:rsidR="006449DE"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6. We advise that all banks should follow above instructions in letter and spirit.</w:t>
      </w:r>
    </w:p>
    <w:p w14:paraId="2E536FFB" w14:textId="51FBCD65" w:rsidR="00C72793" w:rsidRPr="00113001" w:rsidRDefault="00C72793" w:rsidP="004F2E3C">
      <w:pPr>
        <w:pBdr>
          <w:bottom w:val="single" w:sz="12" w:space="1" w:color="auto"/>
        </w:pBdr>
        <w:spacing w:after="0" w:line="240" w:lineRule="auto"/>
        <w:jc w:val="both"/>
        <w:rPr>
          <w:rFonts w:ascii="Cambria" w:hAnsi="Cambria"/>
          <w:sz w:val="24"/>
          <w:szCs w:val="24"/>
        </w:rPr>
      </w:pPr>
    </w:p>
    <w:p w14:paraId="74D245AB" w14:textId="41C7B9DE" w:rsidR="00C72793" w:rsidRPr="00113001" w:rsidRDefault="00C72793" w:rsidP="004F2E3C">
      <w:pPr>
        <w:spacing w:after="0" w:line="240" w:lineRule="auto"/>
        <w:jc w:val="both"/>
        <w:rPr>
          <w:rFonts w:ascii="Cambria" w:hAnsi="Cambria"/>
          <w:sz w:val="24"/>
          <w:szCs w:val="24"/>
        </w:rPr>
      </w:pPr>
    </w:p>
    <w:p w14:paraId="3F45751B" w14:textId="76912841" w:rsidR="00C72793" w:rsidRPr="00113001" w:rsidRDefault="00C72793" w:rsidP="004F2E3C">
      <w:pPr>
        <w:spacing w:after="0" w:line="240" w:lineRule="auto"/>
        <w:jc w:val="both"/>
        <w:rPr>
          <w:rFonts w:ascii="Cambria" w:hAnsi="Cambria"/>
          <w:b/>
          <w:bCs/>
          <w:sz w:val="24"/>
          <w:szCs w:val="24"/>
        </w:rPr>
      </w:pPr>
      <w:proofErr w:type="spellStart"/>
      <w:r w:rsidRPr="00113001">
        <w:rPr>
          <w:rFonts w:ascii="Cambria" w:hAnsi="Cambria"/>
          <w:b/>
          <w:bCs/>
          <w:sz w:val="24"/>
          <w:szCs w:val="24"/>
        </w:rPr>
        <w:t>SLR</w:t>
      </w:r>
      <w:proofErr w:type="spellEnd"/>
      <w:r w:rsidRPr="00113001">
        <w:rPr>
          <w:rFonts w:ascii="Cambria" w:hAnsi="Cambria"/>
          <w:b/>
          <w:bCs/>
          <w:sz w:val="24"/>
          <w:szCs w:val="24"/>
        </w:rPr>
        <w:t xml:space="preserve"> holdings in HTM category (Amended)</w:t>
      </w:r>
    </w:p>
    <w:p w14:paraId="67BED9E3" w14:textId="77777777" w:rsidR="00D52BE8" w:rsidRPr="00113001" w:rsidRDefault="00D52BE8" w:rsidP="004F2E3C">
      <w:pPr>
        <w:spacing w:after="0" w:line="240" w:lineRule="auto"/>
        <w:jc w:val="both"/>
        <w:rPr>
          <w:rFonts w:ascii="Cambria" w:hAnsi="Cambria"/>
          <w:sz w:val="24"/>
          <w:szCs w:val="24"/>
        </w:rPr>
      </w:pPr>
    </w:p>
    <w:p w14:paraId="309B7236" w14:textId="07126524"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RBI/2020-21/29 </w:t>
      </w:r>
      <w:proofErr w:type="spellStart"/>
      <w:r w:rsidRPr="00113001">
        <w:rPr>
          <w:rFonts w:ascii="Cambria" w:hAnsi="Cambria"/>
          <w:sz w:val="24"/>
          <w:szCs w:val="24"/>
        </w:rPr>
        <w:t>DoR.No.BP.BC.9</w:t>
      </w:r>
      <w:proofErr w:type="spellEnd"/>
      <w:r w:rsidRPr="00113001">
        <w:rPr>
          <w:rFonts w:ascii="Cambria" w:hAnsi="Cambria"/>
          <w:sz w:val="24"/>
          <w:szCs w:val="24"/>
        </w:rPr>
        <w:t>/21.04.141/2020-21</w:t>
      </w:r>
    </w:p>
    <w:p w14:paraId="097CC042"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September 1, 2020</w:t>
      </w:r>
    </w:p>
    <w:p w14:paraId="11E84732" w14:textId="77777777" w:rsidR="00C72793" w:rsidRPr="00113001" w:rsidRDefault="00C72793" w:rsidP="004F2E3C">
      <w:pPr>
        <w:spacing w:after="0" w:line="240" w:lineRule="auto"/>
        <w:jc w:val="both"/>
        <w:rPr>
          <w:rFonts w:ascii="Cambria" w:hAnsi="Cambria"/>
          <w:sz w:val="24"/>
          <w:szCs w:val="24"/>
        </w:rPr>
      </w:pPr>
    </w:p>
    <w:p w14:paraId="17000AE1"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All Commercial Banks</w:t>
      </w:r>
    </w:p>
    <w:p w14:paraId="77AE18AD" w14:textId="77777777" w:rsidR="00C72793" w:rsidRPr="00113001" w:rsidRDefault="00C72793" w:rsidP="004F2E3C">
      <w:pPr>
        <w:spacing w:after="0" w:line="240" w:lineRule="auto"/>
        <w:jc w:val="both"/>
        <w:rPr>
          <w:rFonts w:ascii="Cambria" w:hAnsi="Cambria"/>
          <w:sz w:val="24"/>
          <w:szCs w:val="24"/>
        </w:rPr>
      </w:pPr>
    </w:p>
    <w:p w14:paraId="24454BB4"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Please refer to our circulars </w:t>
      </w:r>
      <w:proofErr w:type="spellStart"/>
      <w:r w:rsidRPr="00113001">
        <w:rPr>
          <w:rFonts w:ascii="Cambria" w:hAnsi="Cambria"/>
          <w:sz w:val="24"/>
          <w:szCs w:val="24"/>
        </w:rPr>
        <w:t>DBR.No.BP.BC.6</w:t>
      </w:r>
      <w:proofErr w:type="spellEnd"/>
      <w:r w:rsidRPr="00113001">
        <w:rPr>
          <w:rFonts w:ascii="Cambria" w:hAnsi="Cambria"/>
          <w:sz w:val="24"/>
          <w:szCs w:val="24"/>
        </w:rPr>
        <w:t xml:space="preserve">/21.04.141/2015-16 dated July 1, 2015 read with </w:t>
      </w:r>
      <w:proofErr w:type="spellStart"/>
      <w:r w:rsidRPr="00113001">
        <w:rPr>
          <w:rFonts w:ascii="Cambria" w:hAnsi="Cambria"/>
          <w:sz w:val="24"/>
          <w:szCs w:val="24"/>
        </w:rPr>
        <w:t>DBR.No.BP.BC.65</w:t>
      </w:r>
      <w:proofErr w:type="spellEnd"/>
      <w:r w:rsidRPr="00113001">
        <w:rPr>
          <w:rFonts w:ascii="Cambria" w:hAnsi="Cambria"/>
          <w:sz w:val="24"/>
          <w:szCs w:val="24"/>
        </w:rPr>
        <w:t xml:space="preserve">/21.04.141/2015-16 dated December 10, 2015 and </w:t>
      </w:r>
      <w:proofErr w:type="spellStart"/>
      <w:r w:rsidRPr="00113001">
        <w:rPr>
          <w:rFonts w:ascii="Cambria" w:hAnsi="Cambria"/>
          <w:sz w:val="24"/>
          <w:szCs w:val="24"/>
        </w:rPr>
        <w:t>DBR.No.Ret.BC.90</w:t>
      </w:r>
      <w:proofErr w:type="spellEnd"/>
      <w:r w:rsidRPr="00113001">
        <w:rPr>
          <w:rFonts w:ascii="Cambria" w:hAnsi="Cambria"/>
          <w:sz w:val="24"/>
          <w:szCs w:val="24"/>
        </w:rPr>
        <w:t>/12.02.001/2017-18 dated October 4, 2017 on the subject.</w:t>
      </w:r>
    </w:p>
    <w:p w14:paraId="117601D3" w14:textId="77777777" w:rsidR="00C72793" w:rsidRPr="00113001" w:rsidRDefault="00C72793" w:rsidP="004F2E3C">
      <w:pPr>
        <w:spacing w:after="0" w:line="240" w:lineRule="auto"/>
        <w:jc w:val="both"/>
        <w:rPr>
          <w:rFonts w:ascii="Cambria" w:hAnsi="Cambria"/>
          <w:sz w:val="24"/>
          <w:szCs w:val="24"/>
        </w:rPr>
      </w:pPr>
    </w:p>
    <w:p w14:paraId="26324028" w14:textId="07A9FE9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2. Currently, banks are permitted to exceed the limit of 25 per cent of the total investments under Held to Maturity (HTM) category, provided the excess comprises only of </w:t>
      </w:r>
      <w:proofErr w:type="spellStart"/>
      <w:r w:rsidRPr="00113001">
        <w:rPr>
          <w:rFonts w:ascii="Cambria" w:hAnsi="Cambria"/>
          <w:sz w:val="24"/>
          <w:szCs w:val="24"/>
        </w:rPr>
        <w:t>SLR</w:t>
      </w:r>
      <w:proofErr w:type="spellEnd"/>
      <w:r w:rsidRPr="00113001">
        <w:rPr>
          <w:rFonts w:ascii="Cambria" w:hAnsi="Cambria"/>
          <w:sz w:val="24"/>
          <w:szCs w:val="24"/>
        </w:rPr>
        <w:t xml:space="preserve"> securities and total </w:t>
      </w:r>
      <w:proofErr w:type="spellStart"/>
      <w:r w:rsidRPr="00113001">
        <w:rPr>
          <w:rFonts w:ascii="Cambria" w:hAnsi="Cambria"/>
          <w:sz w:val="24"/>
          <w:szCs w:val="24"/>
        </w:rPr>
        <w:t>SLR</w:t>
      </w:r>
      <w:proofErr w:type="spellEnd"/>
      <w:r w:rsidRPr="00113001">
        <w:rPr>
          <w:rFonts w:ascii="Cambria" w:hAnsi="Cambria"/>
          <w:sz w:val="24"/>
          <w:szCs w:val="24"/>
        </w:rPr>
        <w:t xml:space="preserve"> securities held under HTM category is not more than 19.5 per cent of </w:t>
      </w:r>
      <w:proofErr w:type="spellStart"/>
      <w:r w:rsidRPr="00113001">
        <w:rPr>
          <w:rFonts w:ascii="Cambria" w:hAnsi="Cambria"/>
          <w:sz w:val="24"/>
          <w:szCs w:val="24"/>
        </w:rPr>
        <w:t>NDTL</w:t>
      </w:r>
      <w:proofErr w:type="spellEnd"/>
      <w:r w:rsidRPr="00113001">
        <w:rPr>
          <w:rFonts w:ascii="Cambria" w:hAnsi="Cambria"/>
          <w:sz w:val="24"/>
          <w:szCs w:val="24"/>
        </w:rPr>
        <w:t xml:space="preserve"> as on the last Friday of the second preceding fortnight. On a review, it has been decided to allow banks to hold under HTM category, </w:t>
      </w:r>
      <w:proofErr w:type="spellStart"/>
      <w:r w:rsidRPr="00113001">
        <w:rPr>
          <w:rFonts w:ascii="Cambria" w:hAnsi="Cambria"/>
          <w:sz w:val="24"/>
          <w:szCs w:val="24"/>
        </w:rPr>
        <w:t>SLR</w:t>
      </w:r>
      <w:proofErr w:type="spellEnd"/>
      <w:r w:rsidRPr="00113001">
        <w:rPr>
          <w:rFonts w:ascii="Cambria" w:hAnsi="Cambria"/>
          <w:sz w:val="24"/>
          <w:szCs w:val="24"/>
        </w:rPr>
        <w:t xml:space="preserve"> securities acquired on or after September 1, 2020 up to an overall limit of 22 per cent of </w:t>
      </w:r>
      <w:proofErr w:type="spellStart"/>
      <w:r w:rsidRPr="00113001">
        <w:rPr>
          <w:rFonts w:ascii="Cambria" w:hAnsi="Cambria"/>
          <w:sz w:val="24"/>
          <w:szCs w:val="24"/>
        </w:rPr>
        <w:t>NDTL</w:t>
      </w:r>
      <w:proofErr w:type="spellEnd"/>
      <w:r w:rsidRPr="00113001">
        <w:rPr>
          <w:rFonts w:ascii="Cambria" w:hAnsi="Cambria"/>
          <w:sz w:val="24"/>
          <w:szCs w:val="24"/>
        </w:rPr>
        <w:t>, up to March 31, 2021, which shall be reviewed thereafter.</w:t>
      </w:r>
    </w:p>
    <w:p w14:paraId="1F98A1D4" w14:textId="3D84F39E" w:rsidR="00C72793" w:rsidRPr="00113001" w:rsidRDefault="00C72793" w:rsidP="004F2E3C">
      <w:pPr>
        <w:pBdr>
          <w:bottom w:val="single" w:sz="12" w:space="1" w:color="auto"/>
        </w:pBdr>
        <w:spacing w:after="0" w:line="240" w:lineRule="auto"/>
        <w:jc w:val="both"/>
        <w:rPr>
          <w:rFonts w:ascii="Cambria" w:hAnsi="Cambria"/>
          <w:sz w:val="24"/>
          <w:szCs w:val="24"/>
        </w:rPr>
      </w:pPr>
    </w:p>
    <w:p w14:paraId="0B206318" w14:textId="748652ED" w:rsidR="00C72793" w:rsidRPr="00113001" w:rsidRDefault="00C72793" w:rsidP="004F2E3C">
      <w:pPr>
        <w:spacing w:after="0" w:line="240" w:lineRule="auto"/>
        <w:jc w:val="both"/>
        <w:rPr>
          <w:rFonts w:ascii="Cambria" w:hAnsi="Cambria"/>
          <w:sz w:val="24"/>
          <w:szCs w:val="24"/>
        </w:rPr>
      </w:pPr>
    </w:p>
    <w:p w14:paraId="0CE1E4E8" w14:textId="3421AA0D" w:rsidR="00C72793" w:rsidRPr="00113001" w:rsidRDefault="00C72793" w:rsidP="004F2E3C">
      <w:pPr>
        <w:spacing w:after="0" w:line="240" w:lineRule="auto"/>
        <w:jc w:val="both"/>
        <w:rPr>
          <w:rFonts w:ascii="Cambria" w:hAnsi="Cambria"/>
          <w:b/>
          <w:bCs/>
          <w:sz w:val="24"/>
          <w:szCs w:val="24"/>
        </w:rPr>
      </w:pPr>
      <w:proofErr w:type="spellStart"/>
      <w:r w:rsidRPr="00113001">
        <w:rPr>
          <w:rFonts w:ascii="Cambria" w:hAnsi="Cambria"/>
          <w:b/>
          <w:bCs/>
          <w:sz w:val="24"/>
          <w:szCs w:val="24"/>
        </w:rPr>
        <w:t>SLR</w:t>
      </w:r>
      <w:proofErr w:type="spellEnd"/>
      <w:r w:rsidRPr="00113001">
        <w:rPr>
          <w:rFonts w:ascii="Cambria" w:hAnsi="Cambria"/>
          <w:b/>
          <w:bCs/>
          <w:sz w:val="24"/>
          <w:szCs w:val="24"/>
        </w:rPr>
        <w:t xml:space="preserve"> holdings in HTM category</w:t>
      </w:r>
    </w:p>
    <w:p w14:paraId="3456CF88" w14:textId="77777777" w:rsidR="00D52BE8" w:rsidRPr="00113001" w:rsidRDefault="00D52BE8" w:rsidP="004F2E3C">
      <w:pPr>
        <w:spacing w:after="0" w:line="240" w:lineRule="auto"/>
        <w:jc w:val="both"/>
        <w:rPr>
          <w:rFonts w:ascii="Cambria" w:hAnsi="Cambria"/>
          <w:sz w:val="24"/>
          <w:szCs w:val="24"/>
        </w:rPr>
      </w:pPr>
    </w:p>
    <w:p w14:paraId="15469E18" w14:textId="1FB9C211"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RBI/2020-2021/54 </w:t>
      </w:r>
      <w:proofErr w:type="spellStart"/>
      <w:r w:rsidRPr="00113001">
        <w:rPr>
          <w:rFonts w:ascii="Cambria" w:hAnsi="Cambria"/>
          <w:sz w:val="24"/>
          <w:szCs w:val="24"/>
        </w:rPr>
        <w:t>DoR.No.BP.BC.22</w:t>
      </w:r>
      <w:proofErr w:type="spellEnd"/>
      <w:r w:rsidRPr="00113001">
        <w:rPr>
          <w:rFonts w:ascii="Cambria" w:hAnsi="Cambria"/>
          <w:sz w:val="24"/>
          <w:szCs w:val="24"/>
        </w:rPr>
        <w:t>/21.04.141/2020-21</w:t>
      </w:r>
    </w:p>
    <w:p w14:paraId="512BB08C"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October 12, 2020</w:t>
      </w:r>
    </w:p>
    <w:p w14:paraId="1420BCAF" w14:textId="77777777" w:rsidR="00C72793" w:rsidRPr="00113001" w:rsidRDefault="00C72793" w:rsidP="004F2E3C">
      <w:pPr>
        <w:spacing w:after="0" w:line="240" w:lineRule="auto"/>
        <w:jc w:val="both"/>
        <w:rPr>
          <w:rFonts w:ascii="Cambria" w:hAnsi="Cambria"/>
          <w:sz w:val="24"/>
          <w:szCs w:val="24"/>
        </w:rPr>
      </w:pPr>
    </w:p>
    <w:p w14:paraId="46F34689"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All Commercial Banks</w:t>
      </w:r>
    </w:p>
    <w:p w14:paraId="7DE5E21D" w14:textId="77777777" w:rsidR="00C72793" w:rsidRPr="00113001" w:rsidRDefault="00C72793" w:rsidP="004F2E3C">
      <w:pPr>
        <w:spacing w:after="0" w:line="240" w:lineRule="auto"/>
        <w:jc w:val="both"/>
        <w:rPr>
          <w:rFonts w:ascii="Cambria" w:hAnsi="Cambria"/>
          <w:sz w:val="24"/>
          <w:szCs w:val="24"/>
        </w:rPr>
      </w:pPr>
    </w:p>
    <w:p w14:paraId="33D90069"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Please refer to paragraph 2 of Statement on Developmental and Regulatory Policies of the Monetary Policy Statement, 2020-21 dated October 9, 2020 and our circular </w:t>
      </w:r>
      <w:proofErr w:type="spellStart"/>
      <w:r w:rsidRPr="00113001">
        <w:rPr>
          <w:rFonts w:ascii="Cambria" w:hAnsi="Cambria"/>
          <w:sz w:val="24"/>
          <w:szCs w:val="24"/>
        </w:rPr>
        <w:t>DoR.No.BP.BC.9</w:t>
      </w:r>
      <w:proofErr w:type="spellEnd"/>
      <w:r w:rsidRPr="00113001">
        <w:rPr>
          <w:rFonts w:ascii="Cambria" w:hAnsi="Cambria"/>
          <w:sz w:val="24"/>
          <w:szCs w:val="24"/>
        </w:rPr>
        <w:t>/21.04.141/2020-21 dated September 1, 2020 on the above subject.</w:t>
      </w:r>
    </w:p>
    <w:p w14:paraId="26F19C34" w14:textId="77777777" w:rsidR="00C72793" w:rsidRPr="00113001" w:rsidRDefault="00C72793" w:rsidP="004F2E3C">
      <w:pPr>
        <w:spacing w:after="0" w:line="240" w:lineRule="auto"/>
        <w:jc w:val="both"/>
        <w:rPr>
          <w:rFonts w:ascii="Cambria" w:hAnsi="Cambria"/>
          <w:sz w:val="24"/>
          <w:szCs w:val="24"/>
        </w:rPr>
      </w:pPr>
    </w:p>
    <w:p w14:paraId="1E024B7D"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2. Banks are permitted to exceed the limit of 25 per cent of the total investments under Held to Maturity (HTM) category provided the excess comprises only of </w:t>
      </w:r>
      <w:proofErr w:type="spellStart"/>
      <w:r w:rsidRPr="00113001">
        <w:rPr>
          <w:rFonts w:ascii="Cambria" w:hAnsi="Cambria"/>
          <w:sz w:val="24"/>
          <w:szCs w:val="24"/>
        </w:rPr>
        <w:t>SLR</w:t>
      </w:r>
      <w:proofErr w:type="spellEnd"/>
      <w:r w:rsidRPr="00113001">
        <w:rPr>
          <w:rFonts w:ascii="Cambria" w:hAnsi="Cambria"/>
          <w:sz w:val="24"/>
          <w:szCs w:val="24"/>
        </w:rPr>
        <w:t xml:space="preserve"> securities and total </w:t>
      </w:r>
      <w:proofErr w:type="spellStart"/>
      <w:r w:rsidRPr="00113001">
        <w:rPr>
          <w:rFonts w:ascii="Cambria" w:hAnsi="Cambria"/>
          <w:sz w:val="24"/>
          <w:szCs w:val="24"/>
        </w:rPr>
        <w:t>SLR</w:t>
      </w:r>
      <w:proofErr w:type="spellEnd"/>
      <w:r w:rsidRPr="00113001">
        <w:rPr>
          <w:rFonts w:ascii="Cambria" w:hAnsi="Cambria"/>
          <w:sz w:val="24"/>
          <w:szCs w:val="24"/>
        </w:rPr>
        <w:t xml:space="preserve"> securities held under HTM category is not more than 19.5 per cent of Net Demand and Time Liabilities (</w:t>
      </w:r>
      <w:proofErr w:type="spellStart"/>
      <w:r w:rsidRPr="00113001">
        <w:rPr>
          <w:rFonts w:ascii="Cambria" w:hAnsi="Cambria"/>
          <w:sz w:val="24"/>
          <w:szCs w:val="24"/>
        </w:rPr>
        <w:t>NDTL</w:t>
      </w:r>
      <w:proofErr w:type="spellEnd"/>
      <w:r w:rsidRPr="00113001">
        <w:rPr>
          <w:rFonts w:ascii="Cambria" w:hAnsi="Cambria"/>
          <w:sz w:val="24"/>
          <w:szCs w:val="24"/>
        </w:rPr>
        <w:t xml:space="preserve">) as on the last Friday of the second preceding fortnight. Banks are, vide our circular dated September 1, 2020 referred to above, allowed to hold under HTM category, </w:t>
      </w:r>
      <w:proofErr w:type="spellStart"/>
      <w:r w:rsidRPr="00113001">
        <w:rPr>
          <w:rFonts w:ascii="Cambria" w:hAnsi="Cambria"/>
          <w:sz w:val="24"/>
          <w:szCs w:val="24"/>
        </w:rPr>
        <w:t>SLR</w:t>
      </w:r>
      <w:proofErr w:type="spellEnd"/>
      <w:r w:rsidRPr="00113001">
        <w:rPr>
          <w:rFonts w:ascii="Cambria" w:hAnsi="Cambria"/>
          <w:sz w:val="24"/>
          <w:szCs w:val="24"/>
        </w:rPr>
        <w:t xml:space="preserve"> securities acquired on or after September 1, 2020 up to an overall limit of 22 per cent of </w:t>
      </w:r>
      <w:proofErr w:type="spellStart"/>
      <w:r w:rsidRPr="00113001">
        <w:rPr>
          <w:rFonts w:ascii="Cambria" w:hAnsi="Cambria"/>
          <w:sz w:val="24"/>
          <w:szCs w:val="24"/>
        </w:rPr>
        <w:t>NDTL</w:t>
      </w:r>
      <w:proofErr w:type="spellEnd"/>
      <w:r w:rsidRPr="00113001">
        <w:rPr>
          <w:rFonts w:ascii="Cambria" w:hAnsi="Cambria"/>
          <w:sz w:val="24"/>
          <w:szCs w:val="24"/>
        </w:rPr>
        <w:t xml:space="preserve">, up to March 31, 2021. It has now been decided to extend the dispensation of the enhanced HTM limit of 22 percent, for </w:t>
      </w:r>
      <w:proofErr w:type="spellStart"/>
      <w:r w:rsidRPr="00113001">
        <w:rPr>
          <w:rFonts w:ascii="Cambria" w:hAnsi="Cambria"/>
          <w:sz w:val="24"/>
          <w:szCs w:val="24"/>
        </w:rPr>
        <w:t>SLR</w:t>
      </w:r>
      <w:proofErr w:type="spellEnd"/>
      <w:r w:rsidRPr="00113001">
        <w:rPr>
          <w:rFonts w:ascii="Cambria" w:hAnsi="Cambria"/>
          <w:sz w:val="24"/>
          <w:szCs w:val="24"/>
        </w:rPr>
        <w:t xml:space="preserve"> securities acquired between September 1, 2020 and March 31, 2021, up to March 31, 2022, </w:t>
      </w:r>
      <w:proofErr w:type="gramStart"/>
      <w:r w:rsidRPr="00113001">
        <w:rPr>
          <w:rFonts w:ascii="Cambria" w:hAnsi="Cambria"/>
          <w:sz w:val="24"/>
          <w:szCs w:val="24"/>
        </w:rPr>
        <w:t>i.e.</w:t>
      </w:r>
      <w:proofErr w:type="gramEnd"/>
      <w:r w:rsidRPr="00113001">
        <w:rPr>
          <w:rFonts w:ascii="Cambria" w:hAnsi="Cambria"/>
          <w:sz w:val="24"/>
          <w:szCs w:val="24"/>
        </w:rPr>
        <w:t xml:space="preserve"> banks may continue to hold such excess </w:t>
      </w:r>
      <w:proofErr w:type="spellStart"/>
      <w:r w:rsidRPr="00113001">
        <w:rPr>
          <w:rFonts w:ascii="Cambria" w:hAnsi="Cambria"/>
          <w:sz w:val="24"/>
          <w:szCs w:val="24"/>
        </w:rPr>
        <w:t>SLR</w:t>
      </w:r>
      <w:proofErr w:type="spellEnd"/>
      <w:r w:rsidRPr="00113001">
        <w:rPr>
          <w:rFonts w:ascii="Cambria" w:hAnsi="Cambria"/>
          <w:sz w:val="24"/>
          <w:szCs w:val="24"/>
        </w:rPr>
        <w:t xml:space="preserve"> securities in HTM category </w:t>
      </w:r>
      <w:proofErr w:type="spellStart"/>
      <w:r w:rsidRPr="00113001">
        <w:rPr>
          <w:rFonts w:ascii="Cambria" w:hAnsi="Cambria"/>
          <w:sz w:val="24"/>
          <w:szCs w:val="24"/>
        </w:rPr>
        <w:t>upto</w:t>
      </w:r>
      <w:proofErr w:type="spellEnd"/>
      <w:r w:rsidRPr="00113001">
        <w:rPr>
          <w:rFonts w:ascii="Cambria" w:hAnsi="Cambria"/>
          <w:sz w:val="24"/>
          <w:szCs w:val="24"/>
        </w:rPr>
        <w:t xml:space="preserve"> March 31, 2022.</w:t>
      </w:r>
    </w:p>
    <w:p w14:paraId="5916B0A8" w14:textId="77777777" w:rsidR="00C72793" w:rsidRPr="00113001" w:rsidRDefault="00C72793" w:rsidP="004F2E3C">
      <w:pPr>
        <w:spacing w:after="0" w:line="240" w:lineRule="auto"/>
        <w:jc w:val="both"/>
        <w:rPr>
          <w:rFonts w:ascii="Cambria" w:hAnsi="Cambria"/>
          <w:sz w:val="24"/>
          <w:szCs w:val="24"/>
        </w:rPr>
      </w:pPr>
    </w:p>
    <w:p w14:paraId="56840A5A"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3. It has also been decided that the enhanced HTM limit shall be restored to 19.5 per cent in a phased manner, beginning from the quarter ending June 30, 2022, </w:t>
      </w:r>
      <w:proofErr w:type="gramStart"/>
      <w:r w:rsidRPr="00113001">
        <w:rPr>
          <w:rFonts w:ascii="Cambria" w:hAnsi="Cambria"/>
          <w:sz w:val="24"/>
          <w:szCs w:val="24"/>
        </w:rPr>
        <w:t>i.e.</w:t>
      </w:r>
      <w:proofErr w:type="gramEnd"/>
      <w:r w:rsidRPr="00113001">
        <w:rPr>
          <w:rFonts w:ascii="Cambria" w:hAnsi="Cambria"/>
          <w:sz w:val="24"/>
          <w:szCs w:val="24"/>
        </w:rPr>
        <w:t xml:space="preserve"> the excess </w:t>
      </w:r>
      <w:proofErr w:type="spellStart"/>
      <w:r w:rsidRPr="00113001">
        <w:rPr>
          <w:rFonts w:ascii="Cambria" w:hAnsi="Cambria"/>
          <w:sz w:val="24"/>
          <w:szCs w:val="24"/>
        </w:rPr>
        <w:t>SLR</w:t>
      </w:r>
      <w:proofErr w:type="spellEnd"/>
      <w:r w:rsidRPr="00113001">
        <w:rPr>
          <w:rFonts w:ascii="Cambria" w:hAnsi="Cambria"/>
          <w:sz w:val="24"/>
          <w:szCs w:val="24"/>
        </w:rPr>
        <w:t xml:space="preserve"> securities acquired by banks during the period September 1, 2020 to March 31, 2021 shall be progressively reduced such that the total </w:t>
      </w:r>
      <w:proofErr w:type="spellStart"/>
      <w:r w:rsidRPr="00113001">
        <w:rPr>
          <w:rFonts w:ascii="Cambria" w:hAnsi="Cambria"/>
          <w:sz w:val="24"/>
          <w:szCs w:val="24"/>
        </w:rPr>
        <w:t>SLR</w:t>
      </w:r>
      <w:proofErr w:type="spellEnd"/>
      <w:r w:rsidRPr="00113001">
        <w:rPr>
          <w:rFonts w:ascii="Cambria" w:hAnsi="Cambria"/>
          <w:sz w:val="24"/>
          <w:szCs w:val="24"/>
        </w:rPr>
        <w:t xml:space="preserve"> securities held in the HTM category as a percentage of the </w:t>
      </w:r>
      <w:proofErr w:type="spellStart"/>
      <w:r w:rsidRPr="00113001">
        <w:rPr>
          <w:rFonts w:ascii="Cambria" w:hAnsi="Cambria"/>
          <w:sz w:val="24"/>
          <w:szCs w:val="24"/>
        </w:rPr>
        <w:t>NDTL</w:t>
      </w:r>
      <w:proofErr w:type="spellEnd"/>
      <w:r w:rsidRPr="00113001">
        <w:rPr>
          <w:rFonts w:ascii="Cambria" w:hAnsi="Cambria"/>
          <w:sz w:val="24"/>
          <w:szCs w:val="24"/>
        </w:rPr>
        <w:t xml:space="preserve"> does not exceed:</w:t>
      </w:r>
    </w:p>
    <w:p w14:paraId="228DF910" w14:textId="77777777" w:rsidR="00C72793" w:rsidRPr="00113001" w:rsidRDefault="00C72793" w:rsidP="004F2E3C">
      <w:pPr>
        <w:spacing w:after="0" w:line="240" w:lineRule="auto"/>
        <w:jc w:val="both"/>
        <w:rPr>
          <w:rFonts w:ascii="Cambria" w:hAnsi="Cambria"/>
          <w:sz w:val="24"/>
          <w:szCs w:val="24"/>
        </w:rPr>
      </w:pPr>
    </w:p>
    <w:p w14:paraId="3B989089" w14:textId="77777777" w:rsidR="00C72793" w:rsidRPr="00113001" w:rsidRDefault="00C72793" w:rsidP="004F2E3C">
      <w:pPr>
        <w:pStyle w:val="ListParagraph"/>
        <w:numPr>
          <w:ilvl w:val="0"/>
          <w:numId w:val="13"/>
        </w:numPr>
        <w:spacing w:after="0" w:line="240" w:lineRule="auto"/>
        <w:jc w:val="both"/>
        <w:rPr>
          <w:rFonts w:ascii="Cambria" w:hAnsi="Cambria"/>
          <w:sz w:val="24"/>
          <w:szCs w:val="24"/>
        </w:rPr>
      </w:pPr>
      <w:r w:rsidRPr="00113001">
        <w:rPr>
          <w:rFonts w:ascii="Cambria" w:hAnsi="Cambria"/>
          <w:sz w:val="24"/>
          <w:szCs w:val="24"/>
        </w:rPr>
        <w:t>21.00 per cent as on June 30, 2022</w:t>
      </w:r>
    </w:p>
    <w:p w14:paraId="491F4FB2" w14:textId="77777777" w:rsidR="00C72793" w:rsidRPr="00113001" w:rsidRDefault="00C72793" w:rsidP="004F2E3C">
      <w:pPr>
        <w:pStyle w:val="ListParagraph"/>
        <w:numPr>
          <w:ilvl w:val="0"/>
          <w:numId w:val="13"/>
        </w:numPr>
        <w:spacing w:after="0" w:line="240" w:lineRule="auto"/>
        <w:jc w:val="both"/>
        <w:rPr>
          <w:rFonts w:ascii="Cambria" w:hAnsi="Cambria"/>
          <w:sz w:val="24"/>
          <w:szCs w:val="24"/>
        </w:rPr>
      </w:pPr>
      <w:r w:rsidRPr="00113001">
        <w:rPr>
          <w:rFonts w:ascii="Cambria" w:hAnsi="Cambria"/>
          <w:sz w:val="24"/>
          <w:szCs w:val="24"/>
        </w:rPr>
        <w:t>20.00 per cent as on September 30, 2022</w:t>
      </w:r>
    </w:p>
    <w:p w14:paraId="4E397C2E" w14:textId="77777777" w:rsidR="00C72793" w:rsidRPr="00113001" w:rsidRDefault="00C72793" w:rsidP="004F2E3C">
      <w:pPr>
        <w:pStyle w:val="ListParagraph"/>
        <w:numPr>
          <w:ilvl w:val="0"/>
          <w:numId w:val="13"/>
        </w:numPr>
        <w:spacing w:after="0" w:line="240" w:lineRule="auto"/>
        <w:jc w:val="both"/>
        <w:rPr>
          <w:rFonts w:ascii="Cambria" w:hAnsi="Cambria"/>
          <w:sz w:val="24"/>
          <w:szCs w:val="24"/>
        </w:rPr>
      </w:pPr>
      <w:r w:rsidRPr="00113001">
        <w:rPr>
          <w:rFonts w:ascii="Cambria" w:hAnsi="Cambria"/>
          <w:sz w:val="24"/>
          <w:szCs w:val="24"/>
        </w:rPr>
        <w:t>19.50 per cent as on December 31, 2022</w:t>
      </w:r>
    </w:p>
    <w:p w14:paraId="0E5DDEB6" w14:textId="77777777" w:rsidR="00C72793" w:rsidRPr="00113001" w:rsidRDefault="00C72793" w:rsidP="004F2E3C">
      <w:pPr>
        <w:spacing w:after="0" w:line="240" w:lineRule="auto"/>
        <w:jc w:val="both"/>
        <w:rPr>
          <w:rFonts w:ascii="Cambria" w:hAnsi="Cambria"/>
          <w:sz w:val="24"/>
          <w:szCs w:val="24"/>
        </w:rPr>
      </w:pPr>
    </w:p>
    <w:p w14:paraId="60284BAD" w14:textId="52B6EA24"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4. As per extant instructions, banks may shift investments to/from HTM with the approval of the Board of Directors once a year and such shifting will normally be allowed at the beginning of the accounting year. However, in order to enable banks to shift their excess </w:t>
      </w:r>
      <w:proofErr w:type="spellStart"/>
      <w:r w:rsidRPr="00113001">
        <w:rPr>
          <w:rFonts w:ascii="Cambria" w:hAnsi="Cambria"/>
          <w:sz w:val="24"/>
          <w:szCs w:val="24"/>
        </w:rPr>
        <w:t>SLR</w:t>
      </w:r>
      <w:proofErr w:type="spellEnd"/>
      <w:r w:rsidRPr="00113001">
        <w:rPr>
          <w:rFonts w:ascii="Cambria" w:hAnsi="Cambria"/>
          <w:sz w:val="24"/>
          <w:szCs w:val="24"/>
        </w:rPr>
        <w:t xml:space="preserve"> securities from the HTM category to AFS/</w:t>
      </w:r>
      <w:proofErr w:type="spellStart"/>
      <w:r w:rsidRPr="00113001">
        <w:rPr>
          <w:rFonts w:ascii="Cambria" w:hAnsi="Cambria"/>
          <w:sz w:val="24"/>
          <w:szCs w:val="24"/>
        </w:rPr>
        <w:t>HFT</w:t>
      </w:r>
      <w:proofErr w:type="spellEnd"/>
      <w:r w:rsidRPr="00113001">
        <w:rPr>
          <w:rFonts w:ascii="Cambria" w:hAnsi="Cambria"/>
          <w:sz w:val="24"/>
          <w:szCs w:val="24"/>
        </w:rPr>
        <w:t xml:space="preserve"> to comply with the instructions as indicated in paragraph 3 above, it has been decided to allow such shifting of the excess securities during the quarter in which the HTM ceiling is brought down. This would be in addition to the shifting permitted at the beginning of the accounting year.</w:t>
      </w:r>
    </w:p>
    <w:p w14:paraId="4E415705" w14:textId="3BB442E4" w:rsidR="00C72793" w:rsidRPr="00113001" w:rsidRDefault="00C72793" w:rsidP="004F2E3C">
      <w:pPr>
        <w:pBdr>
          <w:bottom w:val="single" w:sz="12" w:space="1" w:color="auto"/>
        </w:pBdr>
        <w:spacing w:after="0" w:line="240" w:lineRule="auto"/>
        <w:jc w:val="both"/>
        <w:rPr>
          <w:rFonts w:ascii="Cambria" w:hAnsi="Cambria"/>
          <w:sz w:val="24"/>
          <w:szCs w:val="24"/>
        </w:rPr>
      </w:pPr>
    </w:p>
    <w:p w14:paraId="7293FFEC" w14:textId="32CE03B6" w:rsidR="00C72793" w:rsidRPr="00113001" w:rsidRDefault="00C72793" w:rsidP="004F2E3C">
      <w:pPr>
        <w:spacing w:after="0" w:line="240" w:lineRule="auto"/>
        <w:jc w:val="both"/>
        <w:rPr>
          <w:rFonts w:ascii="Cambria" w:hAnsi="Cambria"/>
          <w:sz w:val="24"/>
          <w:szCs w:val="24"/>
        </w:rPr>
      </w:pPr>
    </w:p>
    <w:p w14:paraId="120F72AA" w14:textId="77E5E290" w:rsidR="002238AA" w:rsidRPr="00113001" w:rsidRDefault="002238AA" w:rsidP="004F2E3C">
      <w:pPr>
        <w:jc w:val="both"/>
        <w:rPr>
          <w:rFonts w:ascii="Cambria" w:hAnsi="Cambria"/>
          <w:b/>
          <w:bCs/>
          <w:sz w:val="24"/>
          <w:szCs w:val="24"/>
        </w:rPr>
      </w:pPr>
      <w:r w:rsidRPr="00113001">
        <w:rPr>
          <w:rFonts w:ascii="Cambria" w:hAnsi="Cambria"/>
          <w:b/>
          <w:bCs/>
          <w:sz w:val="24"/>
          <w:szCs w:val="24"/>
        </w:rPr>
        <w:t>Master Directions – Priority Sector Lending (</w:t>
      </w:r>
      <w:proofErr w:type="spellStart"/>
      <w:r w:rsidRPr="00113001">
        <w:rPr>
          <w:rFonts w:ascii="Cambria" w:hAnsi="Cambria"/>
          <w:b/>
          <w:bCs/>
          <w:sz w:val="24"/>
          <w:szCs w:val="24"/>
        </w:rPr>
        <w:t>PSL</w:t>
      </w:r>
      <w:proofErr w:type="spellEnd"/>
      <w:r w:rsidRPr="00113001">
        <w:rPr>
          <w:rFonts w:ascii="Cambria" w:hAnsi="Cambria"/>
          <w:b/>
          <w:bCs/>
          <w:sz w:val="24"/>
          <w:szCs w:val="24"/>
        </w:rPr>
        <w:t>) – Targets and Classification</w:t>
      </w:r>
    </w:p>
    <w:p w14:paraId="48371016" w14:textId="01646795"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RBI/</w:t>
      </w:r>
      <w:proofErr w:type="spellStart"/>
      <w:r w:rsidRPr="00113001">
        <w:rPr>
          <w:rFonts w:ascii="Cambria" w:hAnsi="Cambria"/>
          <w:sz w:val="24"/>
          <w:szCs w:val="24"/>
        </w:rPr>
        <w:t>FIDD</w:t>
      </w:r>
      <w:proofErr w:type="spellEnd"/>
      <w:r w:rsidRPr="00113001">
        <w:rPr>
          <w:rFonts w:ascii="Cambria" w:hAnsi="Cambria"/>
          <w:sz w:val="24"/>
          <w:szCs w:val="24"/>
        </w:rPr>
        <w:t xml:space="preserve">/2020-21/72 Master Directions </w:t>
      </w:r>
      <w:proofErr w:type="spellStart"/>
      <w:r w:rsidRPr="00113001">
        <w:rPr>
          <w:rFonts w:ascii="Cambria" w:hAnsi="Cambria"/>
          <w:sz w:val="24"/>
          <w:szCs w:val="24"/>
        </w:rPr>
        <w:t>FIDD.CO.Plan.BC.5</w:t>
      </w:r>
      <w:proofErr w:type="spellEnd"/>
      <w:r w:rsidRPr="00113001">
        <w:rPr>
          <w:rFonts w:ascii="Cambria" w:hAnsi="Cambria"/>
          <w:sz w:val="24"/>
          <w:szCs w:val="24"/>
        </w:rPr>
        <w:t>/04.09.01/2020-21</w:t>
      </w:r>
    </w:p>
    <w:p w14:paraId="2006B8E1" w14:textId="77777777"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September 04, 2020</w:t>
      </w:r>
    </w:p>
    <w:p w14:paraId="3CEF5DBD" w14:textId="77777777" w:rsidR="002238AA" w:rsidRPr="00113001" w:rsidRDefault="002238AA" w:rsidP="004F2E3C">
      <w:pPr>
        <w:spacing w:after="0" w:line="240" w:lineRule="auto"/>
        <w:jc w:val="both"/>
        <w:rPr>
          <w:rFonts w:ascii="Cambria" w:hAnsi="Cambria"/>
          <w:sz w:val="24"/>
          <w:szCs w:val="24"/>
        </w:rPr>
      </w:pPr>
    </w:p>
    <w:p w14:paraId="08B75B5B" w14:textId="499BF65C"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The Chairman / Managing Director/ Chief Executive Officer</w:t>
      </w:r>
    </w:p>
    <w:p w14:paraId="400417E1" w14:textId="23681C9A"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[All Commercial Banks including Regional Rural Banks, Small Finance Banks, Local Area Banks and Primary (Urban) Co-operative Banks other than Salary Earners’ Banks]</w:t>
      </w:r>
    </w:p>
    <w:p w14:paraId="7814DF3D" w14:textId="77777777" w:rsidR="002238AA" w:rsidRPr="00113001" w:rsidRDefault="002238AA" w:rsidP="004F2E3C">
      <w:pPr>
        <w:spacing w:after="0" w:line="240" w:lineRule="auto"/>
        <w:jc w:val="both"/>
        <w:rPr>
          <w:rFonts w:ascii="Cambria" w:hAnsi="Cambria"/>
          <w:sz w:val="24"/>
          <w:szCs w:val="24"/>
        </w:rPr>
      </w:pPr>
    </w:p>
    <w:p w14:paraId="1E841CD2" w14:textId="77777777"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The Priority Sector Lending (</w:t>
      </w:r>
      <w:proofErr w:type="spellStart"/>
      <w:r w:rsidRPr="00113001">
        <w:rPr>
          <w:rFonts w:ascii="Cambria" w:hAnsi="Cambria"/>
          <w:sz w:val="24"/>
          <w:szCs w:val="24"/>
        </w:rPr>
        <w:t>PSL</w:t>
      </w:r>
      <w:proofErr w:type="spellEnd"/>
      <w:r w:rsidRPr="00113001">
        <w:rPr>
          <w:rFonts w:ascii="Cambria" w:hAnsi="Cambria"/>
          <w:sz w:val="24"/>
          <w:szCs w:val="24"/>
        </w:rPr>
        <w:t xml:space="preserve">) guidelines issued by Reserve Bank of India were last reviewed for Commercial Banks in April 2015 and for UCBs in </w:t>
      </w:r>
      <w:proofErr w:type="gramStart"/>
      <w:r w:rsidRPr="00113001">
        <w:rPr>
          <w:rFonts w:ascii="Cambria" w:hAnsi="Cambria"/>
          <w:sz w:val="24"/>
          <w:szCs w:val="24"/>
        </w:rPr>
        <w:t>May 2018</w:t>
      </w:r>
      <w:proofErr w:type="gramEnd"/>
      <w:r w:rsidRPr="00113001">
        <w:rPr>
          <w:rFonts w:ascii="Cambria" w:hAnsi="Cambria"/>
          <w:sz w:val="24"/>
          <w:szCs w:val="24"/>
        </w:rPr>
        <w:t xml:space="preserve"> respectively. With an objective to harmonise various instructions issued to Commercial Banks, SFBs, </w:t>
      </w:r>
      <w:proofErr w:type="spellStart"/>
      <w:r w:rsidRPr="00113001">
        <w:rPr>
          <w:rFonts w:ascii="Cambria" w:hAnsi="Cambria"/>
          <w:sz w:val="24"/>
          <w:szCs w:val="24"/>
        </w:rPr>
        <w:t>RRBs</w:t>
      </w:r>
      <w:proofErr w:type="spellEnd"/>
      <w:r w:rsidRPr="00113001">
        <w:rPr>
          <w:rFonts w:ascii="Cambria" w:hAnsi="Cambria"/>
          <w:sz w:val="24"/>
          <w:szCs w:val="24"/>
        </w:rPr>
        <w:t xml:space="preserve">, UCBs and </w:t>
      </w:r>
      <w:proofErr w:type="spellStart"/>
      <w:r w:rsidRPr="00113001">
        <w:rPr>
          <w:rFonts w:ascii="Cambria" w:hAnsi="Cambria"/>
          <w:sz w:val="24"/>
          <w:szCs w:val="24"/>
        </w:rPr>
        <w:t>LABs</w:t>
      </w:r>
      <w:proofErr w:type="spellEnd"/>
      <w:r w:rsidRPr="00113001">
        <w:rPr>
          <w:rFonts w:ascii="Cambria" w:hAnsi="Cambria"/>
          <w:sz w:val="24"/>
          <w:szCs w:val="24"/>
        </w:rPr>
        <w:t xml:space="preserve">; align these guidelines with emerging national priorities and bring sharper focus on inclusive development, it was decided to comprehensively review the </w:t>
      </w:r>
      <w:proofErr w:type="spellStart"/>
      <w:r w:rsidRPr="00113001">
        <w:rPr>
          <w:rFonts w:ascii="Cambria" w:hAnsi="Cambria"/>
          <w:sz w:val="24"/>
          <w:szCs w:val="24"/>
        </w:rPr>
        <w:t>PSL</w:t>
      </w:r>
      <w:proofErr w:type="spellEnd"/>
      <w:r w:rsidRPr="00113001">
        <w:rPr>
          <w:rFonts w:ascii="Cambria" w:hAnsi="Cambria"/>
          <w:sz w:val="24"/>
          <w:szCs w:val="24"/>
        </w:rPr>
        <w:t xml:space="preserve"> guidelines. The revised guidelines also aim to encourage and support environment friendly lending policies to help achieve Sustainable Development Goals (SDGs). This review also </w:t>
      </w:r>
      <w:proofErr w:type="gramStart"/>
      <w:r w:rsidRPr="00113001">
        <w:rPr>
          <w:rFonts w:ascii="Cambria" w:hAnsi="Cambria"/>
          <w:sz w:val="24"/>
          <w:szCs w:val="24"/>
        </w:rPr>
        <w:t>took into account</w:t>
      </w:r>
      <w:proofErr w:type="gramEnd"/>
      <w:r w:rsidRPr="00113001">
        <w:rPr>
          <w:rFonts w:ascii="Cambria" w:hAnsi="Cambria"/>
          <w:sz w:val="24"/>
          <w:szCs w:val="24"/>
        </w:rPr>
        <w:t xml:space="preserve"> the recommendations made by the ‘Expert Committee on Micro, Small and Medium Enterprises (Chairman: Shri U.K. Sinha) and the ‘Internal Working Group to Review Agriculture Credit’ (Chairman: Shri M. K. Jain) apart from discussions with all stakeholders. Further, these Master Directions encompass the revised guidelines on </w:t>
      </w:r>
      <w:proofErr w:type="spellStart"/>
      <w:r w:rsidRPr="00113001">
        <w:rPr>
          <w:rFonts w:ascii="Cambria" w:hAnsi="Cambria"/>
          <w:sz w:val="24"/>
          <w:szCs w:val="24"/>
        </w:rPr>
        <w:t>PSL</w:t>
      </w:r>
      <w:proofErr w:type="spellEnd"/>
      <w:r w:rsidRPr="00113001">
        <w:rPr>
          <w:rFonts w:ascii="Cambria" w:hAnsi="Cambria"/>
          <w:sz w:val="24"/>
          <w:szCs w:val="24"/>
        </w:rPr>
        <w:t xml:space="preserve"> for all Commercial banks, </w:t>
      </w:r>
      <w:proofErr w:type="spellStart"/>
      <w:r w:rsidRPr="00113001">
        <w:rPr>
          <w:rFonts w:ascii="Cambria" w:hAnsi="Cambria"/>
          <w:sz w:val="24"/>
          <w:szCs w:val="24"/>
        </w:rPr>
        <w:t>RRBs</w:t>
      </w:r>
      <w:proofErr w:type="spellEnd"/>
      <w:r w:rsidRPr="00113001">
        <w:rPr>
          <w:rFonts w:ascii="Cambria" w:hAnsi="Cambria"/>
          <w:sz w:val="24"/>
          <w:szCs w:val="24"/>
        </w:rPr>
        <w:t xml:space="preserve">, SFBs, UCBs and </w:t>
      </w:r>
      <w:proofErr w:type="spellStart"/>
      <w:r w:rsidRPr="00113001">
        <w:rPr>
          <w:rFonts w:ascii="Cambria" w:hAnsi="Cambria"/>
          <w:sz w:val="24"/>
          <w:szCs w:val="24"/>
        </w:rPr>
        <w:t>LABs</w:t>
      </w:r>
      <w:proofErr w:type="spellEnd"/>
      <w:r w:rsidRPr="00113001">
        <w:rPr>
          <w:rFonts w:ascii="Cambria" w:hAnsi="Cambria"/>
          <w:sz w:val="24"/>
          <w:szCs w:val="24"/>
        </w:rPr>
        <w:t xml:space="preserve"> and, accordingly, supersede the earlier Master Directions on </w:t>
      </w:r>
      <w:proofErr w:type="spellStart"/>
      <w:r w:rsidRPr="00113001">
        <w:rPr>
          <w:rFonts w:ascii="Cambria" w:hAnsi="Cambria"/>
          <w:sz w:val="24"/>
          <w:szCs w:val="24"/>
        </w:rPr>
        <w:t>PSL</w:t>
      </w:r>
      <w:proofErr w:type="spellEnd"/>
      <w:r w:rsidRPr="00113001">
        <w:rPr>
          <w:rFonts w:ascii="Cambria" w:hAnsi="Cambria"/>
          <w:sz w:val="24"/>
          <w:szCs w:val="24"/>
        </w:rPr>
        <w:t xml:space="preserve"> issued separately for Scheduled Commercial Banks, </w:t>
      </w:r>
      <w:proofErr w:type="spellStart"/>
      <w:r w:rsidRPr="00113001">
        <w:rPr>
          <w:rFonts w:ascii="Cambria" w:hAnsi="Cambria"/>
          <w:sz w:val="24"/>
          <w:szCs w:val="24"/>
        </w:rPr>
        <w:t>RRBs</w:t>
      </w:r>
      <w:proofErr w:type="spellEnd"/>
      <w:r w:rsidRPr="00113001">
        <w:rPr>
          <w:rFonts w:ascii="Cambria" w:hAnsi="Cambria"/>
          <w:sz w:val="24"/>
          <w:szCs w:val="24"/>
        </w:rPr>
        <w:t xml:space="preserve">, SFBs and guidelines issued for UCBs, respectively. </w:t>
      </w:r>
    </w:p>
    <w:p w14:paraId="6CBE37B3" w14:textId="77777777" w:rsidR="002238AA" w:rsidRPr="00113001" w:rsidRDefault="002238AA" w:rsidP="004F2E3C">
      <w:pPr>
        <w:spacing w:after="0" w:line="240" w:lineRule="auto"/>
        <w:jc w:val="both"/>
        <w:rPr>
          <w:rFonts w:ascii="Cambria" w:hAnsi="Cambria"/>
          <w:sz w:val="24"/>
          <w:szCs w:val="24"/>
        </w:rPr>
      </w:pPr>
    </w:p>
    <w:p w14:paraId="56E4A751" w14:textId="4D526374"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 xml:space="preserve">The list of circulars consolidated in these Master Directions is indicated in the Appendix. </w:t>
      </w:r>
    </w:p>
    <w:p w14:paraId="4A180F8C" w14:textId="77777777" w:rsidR="002238AA" w:rsidRPr="00113001" w:rsidRDefault="002238AA" w:rsidP="004F2E3C">
      <w:pPr>
        <w:spacing w:after="0" w:line="240" w:lineRule="auto"/>
        <w:jc w:val="both"/>
        <w:rPr>
          <w:rFonts w:ascii="Cambria" w:hAnsi="Cambria"/>
          <w:sz w:val="24"/>
          <w:szCs w:val="24"/>
        </w:rPr>
      </w:pPr>
    </w:p>
    <w:p w14:paraId="24712414" w14:textId="0C940216" w:rsidR="00C72793"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 xml:space="preserve">The Master Directions have been placed on the RBI website </w:t>
      </w:r>
      <w:hyperlink r:id="rId12" w:history="1">
        <w:r w:rsidRPr="00113001">
          <w:rPr>
            <w:rStyle w:val="Hyperlink"/>
            <w:rFonts w:ascii="Cambria" w:hAnsi="Cambria"/>
            <w:sz w:val="24"/>
            <w:szCs w:val="24"/>
          </w:rPr>
          <w:t>www.rbi.org.in</w:t>
        </w:r>
      </w:hyperlink>
      <w:r w:rsidRPr="00113001">
        <w:rPr>
          <w:rFonts w:ascii="Cambria" w:hAnsi="Cambria"/>
          <w:sz w:val="24"/>
          <w:szCs w:val="24"/>
        </w:rPr>
        <w:t>.</w:t>
      </w:r>
    </w:p>
    <w:p w14:paraId="3666F223" w14:textId="062A6201" w:rsidR="002238AA" w:rsidRPr="00113001" w:rsidRDefault="002238AA" w:rsidP="004F2E3C">
      <w:pPr>
        <w:spacing w:after="0" w:line="240" w:lineRule="auto"/>
        <w:jc w:val="both"/>
        <w:rPr>
          <w:rFonts w:ascii="Cambria" w:hAnsi="Cambria"/>
          <w:sz w:val="24"/>
          <w:szCs w:val="24"/>
        </w:rPr>
      </w:pPr>
    </w:p>
    <w:p w14:paraId="03B398CF"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22FE641B" w14:textId="1BF9F21A" w:rsidR="002238AA" w:rsidRPr="00113001" w:rsidRDefault="00292908" w:rsidP="004F2E3C">
      <w:pPr>
        <w:spacing w:after="0" w:line="240" w:lineRule="auto"/>
        <w:jc w:val="both"/>
        <w:rPr>
          <w:rFonts w:ascii="Cambria" w:hAnsi="Cambria"/>
          <w:sz w:val="24"/>
          <w:szCs w:val="24"/>
        </w:rPr>
      </w:pPr>
      <w:hyperlink r:id="rId13" w:history="1">
        <w:r w:rsidR="002238AA" w:rsidRPr="00113001">
          <w:rPr>
            <w:rStyle w:val="Hyperlink"/>
            <w:rFonts w:ascii="Cambria" w:hAnsi="Cambria"/>
            <w:sz w:val="24"/>
            <w:szCs w:val="24"/>
          </w:rPr>
          <w:t>https://www.rbi.org.in/Scripts/NotificationUser.aspx?Id=11959&amp;Mode=0</w:t>
        </w:r>
      </w:hyperlink>
      <w:r w:rsidR="002238AA" w:rsidRPr="00113001">
        <w:rPr>
          <w:rFonts w:ascii="Cambria" w:hAnsi="Cambria"/>
          <w:sz w:val="24"/>
          <w:szCs w:val="24"/>
        </w:rPr>
        <w:t xml:space="preserve"> </w:t>
      </w:r>
    </w:p>
    <w:p w14:paraId="5EF5ABBE" w14:textId="11CA6FEB" w:rsidR="002238AA" w:rsidRPr="00113001" w:rsidRDefault="002238AA" w:rsidP="004F2E3C">
      <w:pPr>
        <w:pBdr>
          <w:bottom w:val="single" w:sz="12" w:space="1" w:color="auto"/>
        </w:pBdr>
        <w:spacing w:after="0" w:line="240" w:lineRule="auto"/>
        <w:jc w:val="both"/>
        <w:rPr>
          <w:rFonts w:ascii="Cambria" w:hAnsi="Cambria"/>
          <w:sz w:val="24"/>
          <w:szCs w:val="24"/>
        </w:rPr>
      </w:pPr>
    </w:p>
    <w:p w14:paraId="5DB6BC43" w14:textId="4661423D" w:rsidR="002238AA" w:rsidRPr="00113001" w:rsidRDefault="002238AA" w:rsidP="004F2E3C">
      <w:pPr>
        <w:spacing w:after="0" w:line="240" w:lineRule="auto"/>
        <w:jc w:val="both"/>
        <w:rPr>
          <w:rFonts w:ascii="Cambria" w:hAnsi="Cambria"/>
          <w:sz w:val="24"/>
          <w:szCs w:val="24"/>
        </w:rPr>
      </w:pPr>
    </w:p>
    <w:p w14:paraId="0D3B9819" w14:textId="7AE91345" w:rsidR="002238AA" w:rsidRPr="00113001" w:rsidRDefault="002238AA" w:rsidP="004F2E3C">
      <w:pPr>
        <w:spacing w:after="0" w:line="240" w:lineRule="auto"/>
        <w:jc w:val="both"/>
        <w:rPr>
          <w:rFonts w:ascii="Cambria" w:hAnsi="Cambria"/>
          <w:b/>
          <w:bCs/>
          <w:sz w:val="24"/>
          <w:szCs w:val="24"/>
        </w:rPr>
      </w:pPr>
      <w:r w:rsidRPr="00113001">
        <w:rPr>
          <w:rFonts w:ascii="Cambria" w:hAnsi="Cambria"/>
          <w:b/>
          <w:bCs/>
          <w:sz w:val="24"/>
          <w:szCs w:val="24"/>
        </w:rPr>
        <w:t>Long Form Audit Report (</w:t>
      </w:r>
      <w:proofErr w:type="spellStart"/>
      <w:r w:rsidRPr="00113001">
        <w:rPr>
          <w:rFonts w:ascii="Cambria" w:hAnsi="Cambria"/>
          <w:b/>
          <w:bCs/>
          <w:sz w:val="24"/>
          <w:szCs w:val="24"/>
        </w:rPr>
        <w:t>LFAR</w:t>
      </w:r>
      <w:proofErr w:type="spellEnd"/>
      <w:r w:rsidRPr="00113001">
        <w:rPr>
          <w:rFonts w:ascii="Cambria" w:hAnsi="Cambria"/>
          <w:b/>
          <w:bCs/>
          <w:sz w:val="24"/>
          <w:szCs w:val="24"/>
        </w:rPr>
        <w:t>) - Review</w:t>
      </w:r>
    </w:p>
    <w:p w14:paraId="7FA9C447" w14:textId="77777777" w:rsidR="00D52BE8" w:rsidRPr="00113001" w:rsidRDefault="00D52BE8" w:rsidP="004F2E3C">
      <w:pPr>
        <w:spacing w:after="0" w:line="240" w:lineRule="auto"/>
        <w:jc w:val="both"/>
        <w:rPr>
          <w:rFonts w:ascii="Cambria" w:hAnsi="Cambria"/>
          <w:sz w:val="24"/>
          <w:szCs w:val="24"/>
        </w:rPr>
      </w:pPr>
    </w:p>
    <w:p w14:paraId="2C773CB5" w14:textId="3899CF12"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 xml:space="preserve">RBI/2020-21/33 </w:t>
      </w:r>
      <w:proofErr w:type="spellStart"/>
      <w:r w:rsidRPr="00113001">
        <w:rPr>
          <w:rFonts w:ascii="Cambria" w:hAnsi="Cambria"/>
          <w:sz w:val="24"/>
          <w:szCs w:val="24"/>
        </w:rPr>
        <w:t>Ref.No.DOS.CO.PPG</w:t>
      </w:r>
      <w:proofErr w:type="spellEnd"/>
      <w:r w:rsidRPr="00113001">
        <w:rPr>
          <w:rFonts w:ascii="Cambria" w:hAnsi="Cambria"/>
          <w:sz w:val="24"/>
          <w:szCs w:val="24"/>
        </w:rPr>
        <w:t>./</w:t>
      </w:r>
      <w:proofErr w:type="spellStart"/>
      <w:r w:rsidRPr="00113001">
        <w:rPr>
          <w:rFonts w:ascii="Cambria" w:hAnsi="Cambria"/>
          <w:sz w:val="24"/>
          <w:szCs w:val="24"/>
        </w:rPr>
        <w:t>SEC.01</w:t>
      </w:r>
      <w:proofErr w:type="spellEnd"/>
      <w:r w:rsidRPr="00113001">
        <w:rPr>
          <w:rFonts w:ascii="Cambria" w:hAnsi="Cambria"/>
          <w:sz w:val="24"/>
          <w:szCs w:val="24"/>
        </w:rPr>
        <w:t>/11.01.005/2020-21</w:t>
      </w:r>
    </w:p>
    <w:p w14:paraId="1BFF301A" w14:textId="77777777"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September 05, 2020</w:t>
      </w:r>
    </w:p>
    <w:p w14:paraId="27E50E9E" w14:textId="77777777" w:rsidR="002238AA" w:rsidRPr="00113001" w:rsidRDefault="002238AA" w:rsidP="004F2E3C">
      <w:pPr>
        <w:spacing w:after="0" w:line="240" w:lineRule="auto"/>
        <w:jc w:val="both"/>
        <w:rPr>
          <w:rFonts w:ascii="Cambria" w:hAnsi="Cambria"/>
          <w:sz w:val="24"/>
          <w:szCs w:val="24"/>
        </w:rPr>
      </w:pPr>
    </w:p>
    <w:p w14:paraId="196E8D95" w14:textId="77777777"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w:t>
      </w:r>
    </w:p>
    <w:p w14:paraId="79B66473" w14:textId="7A6E69EA"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 xml:space="preserve">All Scheduled Commercial Banks (Excluding </w:t>
      </w:r>
      <w:proofErr w:type="spellStart"/>
      <w:r w:rsidRPr="00113001">
        <w:rPr>
          <w:rFonts w:ascii="Cambria" w:hAnsi="Cambria"/>
          <w:sz w:val="24"/>
          <w:szCs w:val="24"/>
        </w:rPr>
        <w:t>RRBs</w:t>
      </w:r>
      <w:proofErr w:type="spellEnd"/>
      <w:r w:rsidRPr="00113001">
        <w:rPr>
          <w:rFonts w:ascii="Cambria" w:hAnsi="Cambria"/>
          <w:sz w:val="24"/>
          <w:szCs w:val="24"/>
        </w:rPr>
        <w:t>) / All Local Area Banks / All Small Finance Banks and All Payment Banks</w:t>
      </w:r>
    </w:p>
    <w:p w14:paraId="653892E6" w14:textId="77777777" w:rsidR="002238AA" w:rsidRPr="00113001" w:rsidRDefault="002238AA" w:rsidP="004F2E3C">
      <w:pPr>
        <w:spacing w:after="0" w:line="240" w:lineRule="auto"/>
        <w:jc w:val="both"/>
        <w:rPr>
          <w:rFonts w:ascii="Cambria" w:hAnsi="Cambria"/>
          <w:sz w:val="24"/>
          <w:szCs w:val="24"/>
        </w:rPr>
      </w:pPr>
    </w:p>
    <w:p w14:paraId="48E57477" w14:textId="77777777"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 xml:space="preserve">Please refer to RBI circular No. </w:t>
      </w:r>
      <w:proofErr w:type="spellStart"/>
      <w:r w:rsidRPr="00113001">
        <w:rPr>
          <w:rFonts w:ascii="Cambria" w:hAnsi="Cambria"/>
          <w:sz w:val="24"/>
          <w:szCs w:val="24"/>
        </w:rPr>
        <w:t>DBS.CO.PP.BC.11</w:t>
      </w:r>
      <w:proofErr w:type="spellEnd"/>
      <w:r w:rsidRPr="00113001">
        <w:rPr>
          <w:rFonts w:ascii="Cambria" w:hAnsi="Cambria"/>
          <w:sz w:val="24"/>
          <w:szCs w:val="24"/>
        </w:rPr>
        <w:t>/11.01.005/2001-2002 dated April 17, 2002 on revision of Long Form Audit Report (</w:t>
      </w:r>
      <w:proofErr w:type="spellStart"/>
      <w:r w:rsidRPr="00113001">
        <w:rPr>
          <w:rFonts w:ascii="Cambria" w:hAnsi="Cambria"/>
          <w:sz w:val="24"/>
          <w:szCs w:val="24"/>
        </w:rPr>
        <w:t>LFAR</w:t>
      </w:r>
      <w:proofErr w:type="spellEnd"/>
      <w:r w:rsidRPr="00113001">
        <w:rPr>
          <w:rFonts w:ascii="Cambria" w:hAnsi="Cambria"/>
          <w:sz w:val="24"/>
          <w:szCs w:val="24"/>
        </w:rPr>
        <w:t>).</w:t>
      </w:r>
    </w:p>
    <w:p w14:paraId="25B1D399" w14:textId="77777777" w:rsidR="002238AA" w:rsidRPr="00113001" w:rsidRDefault="002238AA" w:rsidP="004F2E3C">
      <w:pPr>
        <w:spacing w:after="0" w:line="240" w:lineRule="auto"/>
        <w:jc w:val="both"/>
        <w:rPr>
          <w:rFonts w:ascii="Cambria" w:hAnsi="Cambria"/>
          <w:sz w:val="24"/>
          <w:szCs w:val="24"/>
        </w:rPr>
      </w:pPr>
    </w:p>
    <w:p w14:paraId="320F4A4F" w14:textId="77777777"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 xml:space="preserve">2. Keeping in view the </w:t>
      </w:r>
      <w:proofErr w:type="gramStart"/>
      <w:r w:rsidRPr="00113001">
        <w:rPr>
          <w:rFonts w:ascii="Cambria" w:hAnsi="Cambria"/>
          <w:sz w:val="24"/>
          <w:szCs w:val="24"/>
        </w:rPr>
        <w:t>large scale</w:t>
      </w:r>
      <w:proofErr w:type="gramEnd"/>
      <w:r w:rsidRPr="00113001">
        <w:rPr>
          <w:rFonts w:ascii="Cambria" w:hAnsi="Cambria"/>
          <w:sz w:val="24"/>
          <w:szCs w:val="24"/>
        </w:rPr>
        <w:t xml:space="preserve"> changes in the size, complexities, business model and risks in the banking operations, a review of the </w:t>
      </w:r>
      <w:proofErr w:type="spellStart"/>
      <w:r w:rsidRPr="00113001">
        <w:rPr>
          <w:rFonts w:ascii="Cambria" w:hAnsi="Cambria"/>
          <w:sz w:val="24"/>
          <w:szCs w:val="24"/>
        </w:rPr>
        <w:t>LFAR</w:t>
      </w:r>
      <w:proofErr w:type="spellEnd"/>
      <w:r w:rsidRPr="00113001">
        <w:rPr>
          <w:rFonts w:ascii="Cambria" w:hAnsi="Cambria"/>
          <w:sz w:val="24"/>
          <w:szCs w:val="24"/>
        </w:rPr>
        <w:t xml:space="preserve"> formats, in consultation with the stakeholders, including the Institute of Chartered Accountants of India (ICAI), was undertaken and it has been decided to make the following changes.</w:t>
      </w:r>
    </w:p>
    <w:p w14:paraId="0FA2753F" w14:textId="77777777" w:rsidR="002238AA" w:rsidRPr="00113001" w:rsidRDefault="002238AA" w:rsidP="004F2E3C">
      <w:pPr>
        <w:spacing w:after="0" w:line="240" w:lineRule="auto"/>
        <w:jc w:val="both"/>
        <w:rPr>
          <w:rFonts w:ascii="Cambria" w:hAnsi="Cambria"/>
          <w:sz w:val="24"/>
          <w:szCs w:val="24"/>
        </w:rPr>
      </w:pPr>
    </w:p>
    <w:p w14:paraId="66789C5E" w14:textId="77777777"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 xml:space="preserve">3. The format of </w:t>
      </w:r>
      <w:proofErr w:type="spellStart"/>
      <w:r w:rsidRPr="00113001">
        <w:rPr>
          <w:rFonts w:ascii="Cambria" w:hAnsi="Cambria"/>
          <w:sz w:val="24"/>
          <w:szCs w:val="24"/>
        </w:rPr>
        <w:t>LFAR</w:t>
      </w:r>
      <w:proofErr w:type="spellEnd"/>
      <w:r w:rsidRPr="00113001">
        <w:rPr>
          <w:rFonts w:ascii="Cambria" w:hAnsi="Cambria"/>
          <w:sz w:val="24"/>
          <w:szCs w:val="24"/>
        </w:rPr>
        <w:t>, as mentioned below, have been revised:</w:t>
      </w:r>
    </w:p>
    <w:p w14:paraId="3C13C1FA" w14:textId="77777777" w:rsidR="002238AA" w:rsidRPr="00113001" w:rsidRDefault="002238AA" w:rsidP="004F2E3C">
      <w:pPr>
        <w:spacing w:after="0" w:line="240" w:lineRule="auto"/>
        <w:jc w:val="both"/>
        <w:rPr>
          <w:rFonts w:ascii="Cambria" w:hAnsi="Cambria"/>
          <w:sz w:val="24"/>
          <w:szCs w:val="24"/>
        </w:rPr>
      </w:pPr>
    </w:p>
    <w:p w14:paraId="5D056903" w14:textId="77777777" w:rsidR="002238AA" w:rsidRPr="00113001" w:rsidRDefault="002238AA" w:rsidP="004F2E3C">
      <w:pPr>
        <w:pStyle w:val="ListParagraph"/>
        <w:numPr>
          <w:ilvl w:val="0"/>
          <w:numId w:val="14"/>
        </w:numPr>
        <w:spacing w:after="0" w:line="240" w:lineRule="auto"/>
        <w:jc w:val="both"/>
        <w:rPr>
          <w:rFonts w:ascii="Cambria" w:hAnsi="Cambria"/>
          <w:sz w:val="24"/>
          <w:szCs w:val="24"/>
        </w:rPr>
      </w:pPr>
      <w:r w:rsidRPr="00113001">
        <w:rPr>
          <w:rFonts w:ascii="Cambria" w:hAnsi="Cambria"/>
          <w:sz w:val="24"/>
          <w:szCs w:val="24"/>
        </w:rPr>
        <w:t>Annex I for Statutory Central Auditors (</w:t>
      </w:r>
      <w:proofErr w:type="spellStart"/>
      <w:r w:rsidRPr="00113001">
        <w:rPr>
          <w:rFonts w:ascii="Cambria" w:hAnsi="Cambria"/>
          <w:sz w:val="24"/>
          <w:szCs w:val="24"/>
        </w:rPr>
        <w:t>SCA</w:t>
      </w:r>
      <w:proofErr w:type="spellEnd"/>
      <w:r w:rsidRPr="00113001">
        <w:rPr>
          <w:rFonts w:ascii="Cambria" w:hAnsi="Cambria"/>
          <w:sz w:val="24"/>
          <w:szCs w:val="24"/>
        </w:rPr>
        <w:t>)</w:t>
      </w:r>
    </w:p>
    <w:p w14:paraId="4A16C658" w14:textId="77777777" w:rsidR="002238AA" w:rsidRPr="00113001" w:rsidRDefault="002238AA" w:rsidP="004F2E3C">
      <w:pPr>
        <w:pStyle w:val="ListParagraph"/>
        <w:numPr>
          <w:ilvl w:val="0"/>
          <w:numId w:val="14"/>
        </w:numPr>
        <w:spacing w:after="0" w:line="240" w:lineRule="auto"/>
        <w:jc w:val="both"/>
        <w:rPr>
          <w:rFonts w:ascii="Cambria" w:hAnsi="Cambria"/>
          <w:sz w:val="24"/>
          <w:szCs w:val="24"/>
        </w:rPr>
      </w:pPr>
      <w:r w:rsidRPr="00113001">
        <w:rPr>
          <w:rFonts w:ascii="Cambria" w:hAnsi="Cambria"/>
          <w:sz w:val="24"/>
          <w:szCs w:val="24"/>
        </w:rPr>
        <w:t>Annex II for Branch Auditors</w:t>
      </w:r>
    </w:p>
    <w:p w14:paraId="078DABCC" w14:textId="77777777" w:rsidR="002238AA" w:rsidRPr="00113001" w:rsidRDefault="002238AA" w:rsidP="004F2E3C">
      <w:pPr>
        <w:pStyle w:val="ListParagraph"/>
        <w:numPr>
          <w:ilvl w:val="0"/>
          <w:numId w:val="14"/>
        </w:numPr>
        <w:spacing w:after="0" w:line="240" w:lineRule="auto"/>
        <w:jc w:val="both"/>
        <w:rPr>
          <w:rFonts w:ascii="Cambria" w:hAnsi="Cambria"/>
          <w:sz w:val="24"/>
          <w:szCs w:val="24"/>
        </w:rPr>
      </w:pPr>
      <w:r w:rsidRPr="00113001">
        <w:rPr>
          <w:rFonts w:ascii="Cambria" w:hAnsi="Cambria"/>
          <w:sz w:val="24"/>
          <w:szCs w:val="24"/>
        </w:rPr>
        <w:t>An Appendix as part of Annex II for the specialized branches and</w:t>
      </w:r>
    </w:p>
    <w:p w14:paraId="003A842D" w14:textId="77777777" w:rsidR="002238AA" w:rsidRPr="00113001" w:rsidRDefault="002238AA" w:rsidP="004F2E3C">
      <w:pPr>
        <w:pStyle w:val="ListParagraph"/>
        <w:numPr>
          <w:ilvl w:val="0"/>
          <w:numId w:val="14"/>
        </w:numPr>
        <w:spacing w:after="0" w:line="240" w:lineRule="auto"/>
        <w:jc w:val="both"/>
        <w:rPr>
          <w:rFonts w:ascii="Cambria" w:hAnsi="Cambria"/>
          <w:sz w:val="24"/>
          <w:szCs w:val="24"/>
        </w:rPr>
      </w:pPr>
      <w:r w:rsidRPr="00113001">
        <w:rPr>
          <w:rFonts w:ascii="Cambria" w:hAnsi="Cambria"/>
          <w:sz w:val="24"/>
          <w:szCs w:val="24"/>
        </w:rPr>
        <w:t>Annex III on Large / Irregular / Critical accounts for branch auditors.</w:t>
      </w:r>
    </w:p>
    <w:p w14:paraId="5FED7209" w14:textId="77777777" w:rsidR="002238AA" w:rsidRPr="00113001" w:rsidRDefault="002238AA" w:rsidP="004F2E3C">
      <w:pPr>
        <w:spacing w:after="0" w:line="240" w:lineRule="auto"/>
        <w:jc w:val="both"/>
        <w:rPr>
          <w:rFonts w:ascii="Cambria" w:hAnsi="Cambria"/>
          <w:sz w:val="24"/>
          <w:szCs w:val="24"/>
        </w:rPr>
      </w:pPr>
    </w:p>
    <w:p w14:paraId="333CAC3F" w14:textId="77777777"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The revised formats are enclosed.</w:t>
      </w:r>
    </w:p>
    <w:p w14:paraId="39A8C11B" w14:textId="77777777" w:rsidR="002238AA" w:rsidRPr="00113001" w:rsidRDefault="002238AA" w:rsidP="004F2E3C">
      <w:pPr>
        <w:spacing w:after="0" w:line="240" w:lineRule="auto"/>
        <w:jc w:val="both"/>
        <w:rPr>
          <w:rFonts w:ascii="Cambria" w:hAnsi="Cambria"/>
          <w:sz w:val="24"/>
          <w:szCs w:val="24"/>
        </w:rPr>
      </w:pPr>
    </w:p>
    <w:p w14:paraId="1A0508F2" w14:textId="77777777"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 xml:space="preserve">4. The revised </w:t>
      </w:r>
      <w:proofErr w:type="spellStart"/>
      <w:r w:rsidRPr="00113001">
        <w:rPr>
          <w:rFonts w:ascii="Cambria" w:hAnsi="Cambria"/>
          <w:sz w:val="24"/>
          <w:szCs w:val="24"/>
        </w:rPr>
        <w:t>LFAR</w:t>
      </w:r>
      <w:proofErr w:type="spellEnd"/>
      <w:r w:rsidRPr="00113001">
        <w:rPr>
          <w:rFonts w:ascii="Cambria" w:hAnsi="Cambria"/>
          <w:sz w:val="24"/>
          <w:szCs w:val="24"/>
        </w:rPr>
        <w:t xml:space="preserve"> formats are required to be put into operation for the period covering FY 2020-21 and onwards. The mandate and scope of the audit will be as per this format and if the </w:t>
      </w:r>
      <w:proofErr w:type="spellStart"/>
      <w:r w:rsidRPr="00113001">
        <w:rPr>
          <w:rFonts w:ascii="Cambria" w:hAnsi="Cambria"/>
          <w:sz w:val="24"/>
          <w:szCs w:val="24"/>
        </w:rPr>
        <w:t>SCA</w:t>
      </w:r>
      <w:proofErr w:type="spellEnd"/>
      <w:r w:rsidRPr="00113001">
        <w:rPr>
          <w:rFonts w:ascii="Cambria" w:hAnsi="Cambria"/>
          <w:sz w:val="24"/>
          <w:szCs w:val="24"/>
        </w:rPr>
        <w:t xml:space="preserve"> feels the need of any material additions, etc., this may be done by giving specific justification by the </w:t>
      </w:r>
      <w:proofErr w:type="spellStart"/>
      <w:r w:rsidRPr="00113001">
        <w:rPr>
          <w:rFonts w:ascii="Cambria" w:hAnsi="Cambria"/>
          <w:sz w:val="24"/>
          <w:szCs w:val="24"/>
        </w:rPr>
        <w:t>SCA</w:t>
      </w:r>
      <w:proofErr w:type="spellEnd"/>
      <w:r w:rsidRPr="00113001">
        <w:rPr>
          <w:rFonts w:ascii="Cambria" w:hAnsi="Cambria"/>
          <w:sz w:val="24"/>
          <w:szCs w:val="24"/>
        </w:rPr>
        <w:t xml:space="preserve"> and with the prior intimation of the bank’s Audit Committee of Board (</w:t>
      </w:r>
      <w:proofErr w:type="spellStart"/>
      <w:r w:rsidRPr="00113001">
        <w:rPr>
          <w:rFonts w:ascii="Cambria" w:hAnsi="Cambria"/>
          <w:sz w:val="24"/>
          <w:szCs w:val="24"/>
        </w:rPr>
        <w:t>ACB</w:t>
      </w:r>
      <w:proofErr w:type="spellEnd"/>
      <w:r w:rsidRPr="00113001">
        <w:rPr>
          <w:rFonts w:ascii="Cambria" w:hAnsi="Cambria"/>
          <w:sz w:val="24"/>
          <w:szCs w:val="24"/>
        </w:rPr>
        <w:t>).</w:t>
      </w:r>
    </w:p>
    <w:p w14:paraId="4E34E11D" w14:textId="77777777" w:rsidR="002238AA" w:rsidRPr="00113001" w:rsidRDefault="002238AA" w:rsidP="004F2E3C">
      <w:pPr>
        <w:spacing w:after="0" w:line="240" w:lineRule="auto"/>
        <w:jc w:val="both"/>
        <w:rPr>
          <w:rFonts w:ascii="Cambria" w:hAnsi="Cambria"/>
          <w:sz w:val="24"/>
          <w:szCs w:val="24"/>
        </w:rPr>
      </w:pPr>
    </w:p>
    <w:p w14:paraId="5DACEE06" w14:textId="77777777"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 xml:space="preserve">5. Regarding other operational issues relating to submission of </w:t>
      </w:r>
      <w:proofErr w:type="spellStart"/>
      <w:r w:rsidRPr="00113001">
        <w:rPr>
          <w:rFonts w:ascii="Cambria" w:hAnsi="Cambria"/>
          <w:sz w:val="24"/>
          <w:szCs w:val="24"/>
        </w:rPr>
        <w:t>LFAR</w:t>
      </w:r>
      <w:proofErr w:type="spellEnd"/>
      <w:r w:rsidRPr="00113001">
        <w:rPr>
          <w:rFonts w:ascii="Cambria" w:hAnsi="Cambria"/>
          <w:sz w:val="24"/>
          <w:szCs w:val="24"/>
        </w:rPr>
        <w:t>, we further advise as under:</w:t>
      </w:r>
    </w:p>
    <w:p w14:paraId="4E3449E0" w14:textId="77777777" w:rsidR="002238AA" w:rsidRPr="00113001" w:rsidRDefault="002238AA" w:rsidP="004F2E3C">
      <w:pPr>
        <w:spacing w:after="0" w:line="240" w:lineRule="auto"/>
        <w:jc w:val="both"/>
        <w:rPr>
          <w:rFonts w:ascii="Cambria" w:hAnsi="Cambria"/>
          <w:sz w:val="24"/>
          <w:szCs w:val="24"/>
        </w:rPr>
      </w:pPr>
    </w:p>
    <w:p w14:paraId="4702ED37" w14:textId="77777777" w:rsidR="002238AA" w:rsidRPr="00113001" w:rsidRDefault="002238AA" w:rsidP="004F2E3C">
      <w:pPr>
        <w:pStyle w:val="ListParagraph"/>
        <w:numPr>
          <w:ilvl w:val="0"/>
          <w:numId w:val="15"/>
        </w:numPr>
        <w:spacing w:after="0" w:line="240" w:lineRule="auto"/>
        <w:jc w:val="both"/>
        <w:rPr>
          <w:rFonts w:ascii="Cambria" w:hAnsi="Cambria"/>
          <w:sz w:val="24"/>
          <w:szCs w:val="24"/>
        </w:rPr>
      </w:pPr>
      <w:r w:rsidRPr="00113001">
        <w:rPr>
          <w:rFonts w:ascii="Cambria" w:hAnsi="Cambria"/>
          <w:sz w:val="24"/>
          <w:szCs w:val="24"/>
        </w:rPr>
        <w:t xml:space="preserve">Timely receipt of </w:t>
      </w:r>
      <w:proofErr w:type="spellStart"/>
      <w:r w:rsidRPr="00113001">
        <w:rPr>
          <w:rFonts w:ascii="Cambria" w:hAnsi="Cambria"/>
          <w:sz w:val="24"/>
          <w:szCs w:val="24"/>
        </w:rPr>
        <w:t>LFARs</w:t>
      </w:r>
      <w:proofErr w:type="spellEnd"/>
      <w:r w:rsidRPr="00113001">
        <w:rPr>
          <w:rFonts w:ascii="Cambria" w:hAnsi="Cambria"/>
          <w:sz w:val="24"/>
          <w:szCs w:val="24"/>
        </w:rPr>
        <w:t xml:space="preserve"> from the auditors should be </w:t>
      </w:r>
      <w:proofErr w:type="gramStart"/>
      <w:r w:rsidRPr="00113001">
        <w:rPr>
          <w:rFonts w:ascii="Cambria" w:hAnsi="Cambria"/>
          <w:sz w:val="24"/>
          <w:szCs w:val="24"/>
        </w:rPr>
        <w:t>ensured;</w:t>
      </w:r>
      <w:proofErr w:type="gramEnd"/>
    </w:p>
    <w:p w14:paraId="5384376E" w14:textId="77777777" w:rsidR="002238AA" w:rsidRPr="00113001" w:rsidRDefault="002238AA" w:rsidP="004F2E3C">
      <w:pPr>
        <w:pStyle w:val="ListParagraph"/>
        <w:numPr>
          <w:ilvl w:val="0"/>
          <w:numId w:val="15"/>
        </w:numPr>
        <w:spacing w:after="0" w:line="240" w:lineRule="auto"/>
        <w:jc w:val="both"/>
        <w:rPr>
          <w:rFonts w:ascii="Cambria" w:hAnsi="Cambria"/>
          <w:sz w:val="24"/>
          <w:szCs w:val="24"/>
        </w:rPr>
      </w:pPr>
      <w:r w:rsidRPr="00113001">
        <w:rPr>
          <w:rFonts w:ascii="Cambria" w:hAnsi="Cambria"/>
          <w:sz w:val="24"/>
          <w:szCs w:val="24"/>
        </w:rPr>
        <w:t xml:space="preserve">The </w:t>
      </w:r>
      <w:proofErr w:type="spellStart"/>
      <w:r w:rsidRPr="00113001">
        <w:rPr>
          <w:rFonts w:ascii="Cambria" w:hAnsi="Cambria"/>
          <w:sz w:val="24"/>
          <w:szCs w:val="24"/>
        </w:rPr>
        <w:t>LFAR</w:t>
      </w:r>
      <w:proofErr w:type="spellEnd"/>
      <w:r w:rsidRPr="00113001">
        <w:rPr>
          <w:rFonts w:ascii="Cambria" w:hAnsi="Cambria"/>
          <w:sz w:val="24"/>
          <w:szCs w:val="24"/>
        </w:rPr>
        <w:t xml:space="preserve"> on the bank, after due examination, should be placed before the </w:t>
      </w:r>
      <w:proofErr w:type="spellStart"/>
      <w:r w:rsidRPr="00113001">
        <w:rPr>
          <w:rFonts w:ascii="Cambria" w:hAnsi="Cambria"/>
          <w:sz w:val="24"/>
          <w:szCs w:val="24"/>
        </w:rPr>
        <w:t>ACB</w:t>
      </w:r>
      <w:proofErr w:type="spellEnd"/>
      <w:r w:rsidRPr="00113001">
        <w:rPr>
          <w:rFonts w:ascii="Cambria" w:hAnsi="Cambria"/>
          <w:sz w:val="24"/>
          <w:szCs w:val="24"/>
        </w:rPr>
        <w:t xml:space="preserve"> / Local Advisory Board of the bank indicating the action taken/proposed to be taken for rectification of the irregularities, if any, mentioned therein; and</w:t>
      </w:r>
    </w:p>
    <w:p w14:paraId="099EE5D8" w14:textId="77777777" w:rsidR="002238AA" w:rsidRPr="00113001" w:rsidRDefault="002238AA" w:rsidP="004F2E3C">
      <w:pPr>
        <w:pStyle w:val="ListParagraph"/>
        <w:numPr>
          <w:ilvl w:val="0"/>
          <w:numId w:val="15"/>
        </w:numPr>
        <w:spacing w:after="0" w:line="240" w:lineRule="auto"/>
        <w:jc w:val="both"/>
        <w:rPr>
          <w:rFonts w:ascii="Cambria" w:hAnsi="Cambria"/>
          <w:sz w:val="24"/>
          <w:szCs w:val="24"/>
        </w:rPr>
      </w:pPr>
      <w:r w:rsidRPr="00113001">
        <w:rPr>
          <w:rFonts w:ascii="Cambria" w:hAnsi="Cambria"/>
          <w:sz w:val="24"/>
          <w:szCs w:val="24"/>
        </w:rPr>
        <w:t xml:space="preserve">A copy each of the </w:t>
      </w:r>
      <w:proofErr w:type="spellStart"/>
      <w:r w:rsidRPr="00113001">
        <w:rPr>
          <w:rFonts w:ascii="Cambria" w:hAnsi="Cambria"/>
          <w:sz w:val="24"/>
          <w:szCs w:val="24"/>
        </w:rPr>
        <w:t>LFAR</w:t>
      </w:r>
      <w:proofErr w:type="spellEnd"/>
      <w:r w:rsidRPr="00113001">
        <w:rPr>
          <w:rFonts w:ascii="Cambria" w:hAnsi="Cambria"/>
          <w:sz w:val="24"/>
          <w:szCs w:val="24"/>
        </w:rPr>
        <w:t xml:space="preserve"> (</w:t>
      </w:r>
      <w:proofErr w:type="gramStart"/>
      <w:r w:rsidRPr="00113001">
        <w:rPr>
          <w:rFonts w:ascii="Cambria" w:hAnsi="Cambria"/>
          <w:sz w:val="24"/>
          <w:szCs w:val="24"/>
        </w:rPr>
        <w:t>i.e.</w:t>
      </w:r>
      <w:proofErr w:type="gramEnd"/>
      <w:r w:rsidRPr="00113001">
        <w:rPr>
          <w:rFonts w:ascii="Cambria" w:hAnsi="Cambria"/>
          <w:sz w:val="24"/>
          <w:szCs w:val="24"/>
        </w:rPr>
        <w:t xml:space="preserve"> for the bank / all Indian Offices of foreign bank as a whole) and the relative agenda note, together with the Board's views or directions, should be forwarded to the concerned Senior Supervisory Manager (</w:t>
      </w:r>
      <w:proofErr w:type="spellStart"/>
      <w:r w:rsidRPr="00113001">
        <w:rPr>
          <w:rFonts w:ascii="Cambria" w:hAnsi="Cambria"/>
          <w:sz w:val="24"/>
          <w:szCs w:val="24"/>
        </w:rPr>
        <w:t>SSM</w:t>
      </w:r>
      <w:proofErr w:type="spellEnd"/>
      <w:r w:rsidRPr="00113001">
        <w:rPr>
          <w:rFonts w:ascii="Cambria" w:hAnsi="Cambria"/>
          <w:sz w:val="24"/>
          <w:szCs w:val="24"/>
        </w:rPr>
        <w:t xml:space="preserve">) in the Department of Supervision, Reserve Bank of India within 60 days of submission of the </w:t>
      </w:r>
      <w:proofErr w:type="spellStart"/>
      <w:r w:rsidRPr="00113001">
        <w:rPr>
          <w:rFonts w:ascii="Cambria" w:hAnsi="Cambria"/>
          <w:sz w:val="24"/>
          <w:szCs w:val="24"/>
        </w:rPr>
        <w:t>LFAR</w:t>
      </w:r>
      <w:proofErr w:type="spellEnd"/>
      <w:r w:rsidRPr="00113001">
        <w:rPr>
          <w:rFonts w:ascii="Cambria" w:hAnsi="Cambria"/>
          <w:sz w:val="24"/>
          <w:szCs w:val="24"/>
        </w:rPr>
        <w:t xml:space="preserve"> by the statutory auditors.</w:t>
      </w:r>
    </w:p>
    <w:p w14:paraId="2FE447AB" w14:textId="77777777" w:rsidR="002238AA" w:rsidRPr="00113001" w:rsidRDefault="002238AA" w:rsidP="004F2E3C">
      <w:pPr>
        <w:spacing w:after="0" w:line="240" w:lineRule="auto"/>
        <w:jc w:val="both"/>
        <w:rPr>
          <w:rFonts w:ascii="Cambria" w:hAnsi="Cambria"/>
          <w:sz w:val="24"/>
          <w:szCs w:val="24"/>
        </w:rPr>
      </w:pPr>
    </w:p>
    <w:p w14:paraId="1C36E738" w14:textId="455BD5FE"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 xml:space="preserve">6. The </w:t>
      </w:r>
      <w:proofErr w:type="spellStart"/>
      <w:r w:rsidRPr="00113001">
        <w:rPr>
          <w:rFonts w:ascii="Cambria" w:hAnsi="Cambria"/>
          <w:sz w:val="24"/>
          <w:szCs w:val="24"/>
        </w:rPr>
        <w:t>LFAR</w:t>
      </w:r>
      <w:proofErr w:type="spellEnd"/>
      <w:r w:rsidRPr="00113001">
        <w:rPr>
          <w:rFonts w:ascii="Cambria" w:hAnsi="Cambria"/>
          <w:sz w:val="24"/>
          <w:szCs w:val="24"/>
        </w:rPr>
        <w:t xml:space="preserve"> format and other instructions issued vide RBI circular No. </w:t>
      </w:r>
      <w:proofErr w:type="spellStart"/>
      <w:r w:rsidRPr="00113001">
        <w:rPr>
          <w:rFonts w:ascii="Cambria" w:hAnsi="Cambria"/>
          <w:sz w:val="24"/>
          <w:szCs w:val="24"/>
        </w:rPr>
        <w:t>DBS.CO.PP.BC.11</w:t>
      </w:r>
      <w:proofErr w:type="spellEnd"/>
      <w:r w:rsidRPr="00113001">
        <w:rPr>
          <w:rFonts w:ascii="Cambria" w:hAnsi="Cambria"/>
          <w:sz w:val="24"/>
          <w:szCs w:val="24"/>
        </w:rPr>
        <w:t>/11.01.005/2001-2002 dated April 17, 2002 stand repealed.</w:t>
      </w:r>
    </w:p>
    <w:p w14:paraId="6F2D5719" w14:textId="39735484" w:rsidR="002238AA" w:rsidRPr="00113001" w:rsidRDefault="002238AA" w:rsidP="004F2E3C">
      <w:pPr>
        <w:spacing w:after="0" w:line="240" w:lineRule="auto"/>
        <w:jc w:val="both"/>
        <w:rPr>
          <w:rFonts w:ascii="Cambria" w:hAnsi="Cambria"/>
          <w:sz w:val="24"/>
          <w:szCs w:val="24"/>
        </w:rPr>
      </w:pPr>
    </w:p>
    <w:p w14:paraId="750F19A0"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187E1E4D" w14:textId="5F570AD4" w:rsidR="002238AA" w:rsidRPr="00113001" w:rsidRDefault="00292908" w:rsidP="004F2E3C">
      <w:pPr>
        <w:spacing w:after="0" w:line="240" w:lineRule="auto"/>
        <w:jc w:val="both"/>
        <w:rPr>
          <w:rFonts w:ascii="Cambria" w:hAnsi="Cambria"/>
          <w:sz w:val="24"/>
          <w:szCs w:val="24"/>
        </w:rPr>
      </w:pPr>
      <w:hyperlink r:id="rId14" w:history="1">
        <w:r w:rsidR="002238AA" w:rsidRPr="00113001">
          <w:rPr>
            <w:rStyle w:val="Hyperlink"/>
            <w:rFonts w:ascii="Cambria" w:hAnsi="Cambria"/>
            <w:sz w:val="24"/>
            <w:szCs w:val="24"/>
          </w:rPr>
          <w:t>https://www.rbi.org.in/Scripts/NotificationUser.aspx?Id=11960&amp;Mode=0</w:t>
        </w:r>
      </w:hyperlink>
      <w:r w:rsidR="002238AA" w:rsidRPr="00113001">
        <w:rPr>
          <w:rFonts w:ascii="Cambria" w:hAnsi="Cambria"/>
          <w:sz w:val="24"/>
          <w:szCs w:val="24"/>
        </w:rPr>
        <w:t xml:space="preserve"> </w:t>
      </w:r>
    </w:p>
    <w:p w14:paraId="4610033F" w14:textId="6F596253" w:rsidR="002238AA" w:rsidRPr="00113001" w:rsidRDefault="002238AA" w:rsidP="004F2E3C">
      <w:pPr>
        <w:pBdr>
          <w:bottom w:val="single" w:sz="12" w:space="1" w:color="auto"/>
        </w:pBdr>
        <w:spacing w:after="0" w:line="240" w:lineRule="auto"/>
        <w:jc w:val="both"/>
        <w:rPr>
          <w:rFonts w:ascii="Cambria" w:hAnsi="Cambria"/>
          <w:sz w:val="24"/>
          <w:szCs w:val="24"/>
        </w:rPr>
      </w:pPr>
    </w:p>
    <w:p w14:paraId="08E55CD7" w14:textId="77777777" w:rsidR="00984497" w:rsidRPr="00113001" w:rsidRDefault="00984497" w:rsidP="004F2E3C">
      <w:pPr>
        <w:spacing w:after="0" w:line="240" w:lineRule="auto"/>
        <w:jc w:val="both"/>
        <w:rPr>
          <w:rFonts w:ascii="Cambria" w:hAnsi="Cambria"/>
          <w:b/>
          <w:bCs/>
          <w:sz w:val="24"/>
          <w:szCs w:val="24"/>
        </w:rPr>
      </w:pPr>
    </w:p>
    <w:p w14:paraId="5A2F42E9" w14:textId="0C7BEAA4" w:rsidR="002238AA" w:rsidRPr="00113001" w:rsidRDefault="002238AA" w:rsidP="004F2E3C">
      <w:pPr>
        <w:spacing w:after="0" w:line="240" w:lineRule="auto"/>
        <w:jc w:val="both"/>
        <w:rPr>
          <w:rFonts w:ascii="Cambria" w:hAnsi="Cambria"/>
          <w:b/>
          <w:bCs/>
          <w:sz w:val="24"/>
          <w:szCs w:val="24"/>
        </w:rPr>
      </w:pPr>
      <w:r w:rsidRPr="00113001">
        <w:rPr>
          <w:rFonts w:ascii="Cambria" w:hAnsi="Cambria"/>
          <w:b/>
          <w:bCs/>
          <w:sz w:val="24"/>
          <w:szCs w:val="24"/>
        </w:rPr>
        <w:t>Compliance functions in banks and Role of Chief Compliance Officer (</w:t>
      </w:r>
      <w:proofErr w:type="spellStart"/>
      <w:r w:rsidRPr="00113001">
        <w:rPr>
          <w:rFonts w:ascii="Cambria" w:hAnsi="Cambria"/>
          <w:b/>
          <w:bCs/>
          <w:sz w:val="24"/>
          <w:szCs w:val="24"/>
        </w:rPr>
        <w:t>CCO</w:t>
      </w:r>
      <w:proofErr w:type="spellEnd"/>
      <w:r w:rsidRPr="00113001">
        <w:rPr>
          <w:rFonts w:ascii="Cambria" w:hAnsi="Cambria"/>
          <w:b/>
          <w:bCs/>
          <w:sz w:val="24"/>
          <w:szCs w:val="24"/>
        </w:rPr>
        <w:t>)</w:t>
      </w:r>
    </w:p>
    <w:p w14:paraId="42E60437" w14:textId="77777777" w:rsidR="00D52BE8" w:rsidRPr="00113001" w:rsidRDefault="00D52BE8" w:rsidP="004F2E3C">
      <w:pPr>
        <w:spacing w:after="0" w:line="240" w:lineRule="auto"/>
        <w:jc w:val="both"/>
        <w:rPr>
          <w:rFonts w:ascii="Cambria" w:hAnsi="Cambria"/>
          <w:sz w:val="24"/>
          <w:szCs w:val="24"/>
        </w:rPr>
      </w:pPr>
    </w:p>
    <w:p w14:paraId="05EA4FC1" w14:textId="2EDBD779"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 xml:space="preserve">RBI/2020-21/35 / Ref. No. </w:t>
      </w:r>
      <w:proofErr w:type="spellStart"/>
      <w:r w:rsidRPr="00113001">
        <w:rPr>
          <w:rFonts w:ascii="Cambria" w:hAnsi="Cambria"/>
          <w:sz w:val="24"/>
          <w:szCs w:val="24"/>
        </w:rPr>
        <w:t>DoS.CO.PPG</w:t>
      </w:r>
      <w:proofErr w:type="spellEnd"/>
      <w:r w:rsidRPr="00113001">
        <w:rPr>
          <w:rFonts w:ascii="Cambria" w:hAnsi="Cambria"/>
          <w:sz w:val="24"/>
          <w:szCs w:val="24"/>
        </w:rPr>
        <w:t>./</w:t>
      </w:r>
      <w:proofErr w:type="spellStart"/>
      <w:r w:rsidRPr="00113001">
        <w:rPr>
          <w:rFonts w:ascii="Cambria" w:hAnsi="Cambria"/>
          <w:sz w:val="24"/>
          <w:szCs w:val="24"/>
        </w:rPr>
        <w:t>SEC.02</w:t>
      </w:r>
      <w:proofErr w:type="spellEnd"/>
      <w:r w:rsidRPr="00113001">
        <w:rPr>
          <w:rFonts w:ascii="Cambria" w:hAnsi="Cambria"/>
          <w:sz w:val="24"/>
          <w:szCs w:val="24"/>
        </w:rPr>
        <w:t>/11.01.005/2020-21</w:t>
      </w:r>
    </w:p>
    <w:p w14:paraId="38BA0171" w14:textId="77777777"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September 11, 2020</w:t>
      </w:r>
    </w:p>
    <w:p w14:paraId="52D62896" w14:textId="77777777" w:rsidR="002238AA" w:rsidRPr="00113001" w:rsidRDefault="002238AA" w:rsidP="004F2E3C">
      <w:pPr>
        <w:spacing w:after="0" w:line="240" w:lineRule="auto"/>
        <w:jc w:val="both"/>
        <w:rPr>
          <w:rFonts w:ascii="Cambria" w:hAnsi="Cambria"/>
          <w:sz w:val="24"/>
          <w:szCs w:val="24"/>
        </w:rPr>
      </w:pPr>
    </w:p>
    <w:p w14:paraId="7CDFE8D7" w14:textId="77777777"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The Chairman / Managing Director &amp; Chief Executive Officer</w:t>
      </w:r>
    </w:p>
    <w:p w14:paraId="239D606E" w14:textId="3AFDD928"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 xml:space="preserve">All Scheduled Commercial Banks (Excluding </w:t>
      </w:r>
      <w:proofErr w:type="spellStart"/>
      <w:r w:rsidRPr="00113001">
        <w:rPr>
          <w:rFonts w:ascii="Cambria" w:hAnsi="Cambria"/>
          <w:sz w:val="24"/>
          <w:szCs w:val="24"/>
        </w:rPr>
        <w:t>RRBs</w:t>
      </w:r>
      <w:proofErr w:type="spellEnd"/>
      <w:r w:rsidRPr="00113001">
        <w:rPr>
          <w:rFonts w:ascii="Cambria" w:hAnsi="Cambria"/>
          <w:sz w:val="24"/>
          <w:szCs w:val="24"/>
        </w:rPr>
        <w:t>) / All Local Area Banks and</w:t>
      </w:r>
    </w:p>
    <w:p w14:paraId="678922FE" w14:textId="77777777"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All Small Finance Banks and Payment Banks</w:t>
      </w:r>
    </w:p>
    <w:p w14:paraId="13104B9C" w14:textId="77777777" w:rsidR="002238AA" w:rsidRPr="00113001" w:rsidRDefault="002238AA" w:rsidP="004F2E3C">
      <w:pPr>
        <w:spacing w:after="0" w:line="240" w:lineRule="auto"/>
        <w:jc w:val="both"/>
        <w:rPr>
          <w:rFonts w:ascii="Cambria" w:hAnsi="Cambria"/>
          <w:sz w:val="24"/>
          <w:szCs w:val="24"/>
        </w:rPr>
      </w:pPr>
    </w:p>
    <w:p w14:paraId="545EDC63" w14:textId="58ABB3CB"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 xml:space="preserve">Please refer to the guidelines on compliance functions vide our circulars </w:t>
      </w:r>
      <w:proofErr w:type="spellStart"/>
      <w:r w:rsidRPr="00113001">
        <w:rPr>
          <w:rFonts w:ascii="Cambria" w:hAnsi="Cambria"/>
          <w:sz w:val="24"/>
          <w:szCs w:val="24"/>
        </w:rPr>
        <w:t>DBS.CO.PP.BC.6</w:t>
      </w:r>
      <w:proofErr w:type="spellEnd"/>
      <w:r w:rsidRPr="00113001">
        <w:rPr>
          <w:rFonts w:ascii="Cambria" w:hAnsi="Cambria"/>
          <w:sz w:val="24"/>
          <w:szCs w:val="24"/>
        </w:rPr>
        <w:t xml:space="preserve">/11.01.005/2006-07 dated April 20, 2007 and </w:t>
      </w:r>
      <w:proofErr w:type="spellStart"/>
      <w:r w:rsidRPr="00113001">
        <w:rPr>
          <w:rFonts w:ascii="Cambria" w:hAnsi="Cambria"/>
          <w:sz w:val="24"/>
          <w:szCs w:val="24"/>
        </w:rPr>
        <w:t>DBS.CO.PPD.10946</w:t>
      </w:r>
      <w:proofErr w:type="spellEnd"/>
      <w:r w:rsidRPr="00113001">
        <w:rPr>
          <w:rFonts w:ascii="Cambria" w:hAnsi="Cambria"/>
          <w:sz w:val="24"/>
          <w:szCs w:val="24"/>
        </w:rPr>
        <w:t>/ 11.01.005/2014-15 dated March 04, 2015.</w:t>
      </w:r>
    </w:p>
    <w:p w14:paraId="56399EBA" w14:textId="77777777" w:rsidR="002238AA" w:rsidRPr="00113001" w:rsidRDefault="002238AA" w:rsidP="004F2E3C">
      <w:pPr>
        <w:spacing w:after="0" w:line="240" w:lineRule="auto"/>
        <w:jc w:val="both"/>
        <w:rPr>
          <w:rFonts w:ascii="Cambria" w:hAnsi="Cambria"/>
          <w:sz w:val="24"/>
          <w:szCs w:val="24"/>
        </w:rPr>
      </w:pPr>
    </w:p>
    <w:p w14:paraId="7B8B1A76" w14:textId="77777777"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2. As part of robust compliance system, banks are required, inter-alia, to have an effective compliance culture, independent corporate compliance function and a strong compliance risk management programme at bank and group level. Such an independent compliance function is required to be headed by a designated Chief Compliance Officer (</w:t>
      </w:r>
      <w:proofErr w:type="spellStart"/>
      <w:r w:rsidRPr="00113001">
        <w:rPr>
          <w:rFonts w:ascii="Cambria" w:hAnsi="Cambria"/>
          <w:sz w:val="24"/>
          <w:szCs w:val="24"/>
        </w:rPr>
        <w:t>CCO</w:t>
      </w:r>
      <w:proofErr w:type="spellEnd"/>
      <w:r w:rsidRPr="00113001">
        <w:rPr>
          <w:rFonts w:ascii="Cambria" w:hAnsi="Cambria"/>
          <w:sz w:val="24"/>
          <w:szCs w:val="24"/>
        </w:rPr>
        <w:t>) selected through a suitable process with an appropriate ‘fit and proper’ evaluation/selection criteria to manage compliance risk effectively.</w:t>
      </w:r>
    </w:p>
    <w:p w14:paraId="2283195B" w14:textId="77777777" w:rsidR="002238AA" w:rsidRPr="00113001" w:rsidRDefault="002238AA" w:rsidP="004F2E3C">
      <w:pPr>
        <w:spacing w:after="0" w:line="240" w:lineRule="auto"/>
        <w:jc w:val="both"/>
        <w:rPr>
          <w:rFonts w:ascii="Cambria" w:hAnsi="Cambria"/>
          <w:sz w:val="24"/>
          <w:szCs w:val="24"/>
        </w:rPr>
      </w:pPr>
    </w:p>
    <w:p w14:paraId="1A706E89" w14:textId="5DF7FEC0"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 xml:space="preserve">However, it is observed that the banks follow diverse practices in this regard. The following guidelines are meant to bring uniformity in approach followed by banks, as also to align the supervisory expectations on </w:t>
      </w:r>
      <w:proofErr w:type="spellStart"/>
      <w:r w:rsidRPr="00113001">
        <w:rPr>
          <w:rFonts w:ascii="Cambria" w:hAnsi="Cambria"/>
          <w:sz w:val="24"/>
          <w:szCs w:val="24"/>
        </w:rPr>
        <w:t>CCOs</w:t>
      </w:r>
      <w:proofErr w:type="spellEnd"/>
      <w:r w:rsidRPr="00113001">
        <w:rPr>
          <w:rFonts w:ascii="Cambria" w:hAnsi="Cambria"/>
          <w:sz w:val="24"/>
          <w:szCs w:val="24"/>
        </w:rPr>
        <w:t xml:space="preserve"> with best practices</w:t>
      </w:r>
      <w:r w:rsidR="004F2E3C" w:rsidRPr="00113001">
        <w:rPr>
          <w:rFonts w:ascii="Cambria" w:hAnsi="Cambria"/>
          <w:sz w:val="24"/>
          <w:szCs w:val="24"/>
        </w:rPr>
        <w:t>…</w:t>
      </w:r>
    </w:p>
    <w:p w14:paraId="0DF50117" w14:textId="0B379411" w:rsidR="004F2E3C" w:rsidRPr="00113001" w:rsidRDefault="004F2E3C" w:rsidP="004F2E3C">
      <w:pPr>
        <w:spacing w:after="0" w:line="240" w:lineRule="auto"/>
        <w:jc w:val="both"/>
        <w:rPr>
          <w:rFonts w:ascii="Cambria" w:hAnsi="Cambria"/>
          <w:sz w:val="24"/>
          <w:szCs w:val="24"/>
        </w:rPr>
      </w:pPr>
    </w:p>
    <w:p w14:paraId="792FA9F6"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6E38194E" w14:textId="1B8049EB" w:rsidR="004F2E3C" w:rsidRPr="00113001" w:rsidRDefault="00292908" w:rsidP="004F2E3C">
      <w:pPr>
        <w:spacing w:after="0" w:line="240" w:lineRule="auto"/>
        <w:jc w:val="both"/>
        <w:rPr>
          <w:rFonts w:ascii="Cambria" w:hAnsi="Cambria"/>
          <w:sz w:val="24"/>
          <w:szCs w:val="24"/>
        </w:rPr>
      </w:pPr>
      <w:hyperlink r:id="rId15" w:history="1">
        <w:r w:rsidR="004F2E3C" w:rsidRPr="00113001">
          <w:rPr>
            <w:rStyle w:val="Hyperlink"/>
            <w:rFonts w:ascii="Cambria" w:hAnsi="Cambria"/>
            <w:sz w:val="24"/>
            <w:szCs w:val="24"/>
          </w:rPr>
          <w:t>https://www.rbi.org.in/Scripts/NotificationUser.aspx?Id=11962&amp;Mode=0</w:t>
        </w:r>
      </w:hyperlink>
      <w:r w:rsidR="004F2E3C" w:rsidRPr="00113001">
        <w:rPr>
          <w:rFonts w:ascii="Cambria" w:hAnsi="Cambria"/>
          <w:sz w:val="24"/>
          <w:szCs w:val="24"/>
        </w:rPr>
        <w:t xml:space="preserve"> </w:t>
      </w:r>
    </w:p>
    <w:p w14:paraId="664D3344" w14:textId="77777777" w:rsidR="002238AA" w:rsidRPr="00113001" w:rsidRDefault="002238AA" w:rsidP="004F2E3C">
      <w:pPr>
        <w:pBdr>
          <w:bottom w:val="single" w:sz="12" w:space="1" w:color="auto"/>
        </w:pBdr>
        <w:spacing w:after="0" w:line="240" w:lineRule="auto"/>
        <w:jc w:val="both"/>
        <w:rPr>
          <w:rFonts w:ascii="Cambria" w:hAnsi="Cambria"/>
          <w:sz w:val="24"/>
          <w:szCs w:val="24"/>
        </w:rPr>
      </w:pPr>
    </w:p>
    <w:p w14:paraId="73F84888" w14:textId="77777777" w:rsidR="00113001" w:rsidRPr="00113001" w:rsidRDefault="00113001" w:rsidP="004F2E3C">
      <w:pPr>
        <w:spacing w:after="0" w:line="240" w:lineRule="auto"/>
        <w:jc w:val="both"/>
        <w:rPr>
          <w:rFonts w:ascii="Cambria" w:hAnsi="Cambria" w:cstheme="minorHAnsi"/>
          <w:sz w:val="24"/>
          <w:szCs w:val="24"/>
        </w:rPr>
      </w:pPr>
    </w:p>
    <w:p w14:paraId="2E862CFB" w14:textId="3E7B8D18" w:rsidR="00AD2750" w:rsidRPr="00113001" w:rsidRDefault="00AD2750" w:rsidP="004F2E3C">
      <w:pPr>
        <w:spacing w:after="0" w:line="240" w:lineRule="auto"/>
        <w:jc w:val="both"/>
        <w:rPr>
          <w:rFonts w:ascii="Cambria" w:hAnsi="Cambria"/>
          <w:b/>
          <w:bCs/>
          <w:sz w:val="24"/>
          <w:szCs w:val="24"/>
        </w:rPr>
      </w:pPr>
      <w:r w:rsidRPr="00113001">
        <w:rPr>
          <w:rFonts w:ascii="Cambria" w:hAnsi="Cambria"/>
          <w:b/>
          <w:bCs/>
          <w:sz w:val="24"/>
          <w:szCs w:val="24"/>
        </w:rPr>
        <w:t>Automation of Income Recognition, Asset Classification and Provisioning processes in banks</w:t>
      </w:r>
    </w:p>
    <w:p w14:paraId="624F10F5" w14:textId="37D81C30"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RBI/2020-21/37 Ref. No. </w:t>
      </w:r>
      <w:proofErr w:type="spellStart"/>
      <w:r w:rsidRPr="00113001">
        <w:rPr>
          <w:rFonts w:ascii="Cambria" w:hAnsi="Cambria"/>
          <w:sz w:val="24"/>
          <w:szCs w:val="24"/>
        </w:rPr>
        <w:t>DoS.CO.PPG</w:t>
      </w:r>
      <w:proofErr w:type="spellEnd"/>
      <w:r w:rsidRPr="00113001">
        <w:rPr>
          <w:rFonts w:ascii="Cambria" w:hAnsi="Cambria"/>
          <w:sz w:val="24"/>
          <w:szCs w:val="24"/>
        </w:rPr>
        <w:t>./</w:t>
      </w:r>
      <w:proofErr w:type="spellStart"/>
      <w:r w:rsidRPr="00113001">
        <w:rPr>
          <w:rFonts w:ascii="Cambria" w:hAnsi="Cambria"/>
          <w:sz w:val="24"/>
          <w:szCs w:val="24"/>
        </w:rPr>
        <w:t>SEC.03</w:t>
      </w:r>
      <w:proofErr w:type="spellEnd"/>
      <w:r w:rsidRPr="00113001">
        <w:rPr>
          <w:rFonts w:ascii="Cambria" w:hAnsi="Cambria"/>
          <w:sz w:val="24"/>
          <w:szCs w:val="24"/>
        </w:rPr>
        <w:t>/11.01.005/2020-21</w:t>
      </w:r>
    </w:p>
    <w:p w14:paraId="56A00E12"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September 14, 2020</w:t>
      </w:r>
    </w:p>
    <w:p w14:paraId="5548ACB8" w14:textId="77777777" w:rsidR="00AD2750" w:rsidRPr="00113001" w:rsidRDefault="00AD2750" w:rsidP="004F2E3C">
      <w:pPr>
        <w:spacing w:after="0" w:line="240" w:lineRule="auto"/>
        <w:jc w:val="both"/>
        <w:rPr>
          <w:rFonts w:ascii="Cambria" w:hAnsi="Cambria"/>
          <w:sz w:val="24"/>
          <w:szCs w:val="24"/>
        </w:rPr>
      </w:pPr>
    </w:p>
    <w:p w14:paraId="6016E310"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w:t>
      </w:r>
    </w:p>
    <w:p w14:paraId="688A6B79" w14:textId="03ABAB6A"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All Scheduled Commercial Banks (Excluding </w:t>
      </w:r>
      <w:proofErr w:type="spellStart"/>
      <w:r w:rsidRPr="00113001">
        <w:rPr>
          <w:rFonts w:ascii="Cambria" w:hAnsi="Cambria"/>
          <w:sz w:val="24"/>
          <w:szCs w:val="24"/>
        </w:rPr>
        <w:t>RRBs</w:t>
      </w:r>
      <w:proofErr w:type="spellEnd"/>
      <w:r w:rsidRPr="00113001">
        <w:rPr>
          <w:rFonts w:ascii="Cambria" w:hAnsi="Cambria"/>
          <w:sz w:val="24"/>
          <w:szCs w:val="24"/>
        </w:rPr>
        <w:t>) and All Small Finance Banks</w:t>
      </w:r>
    </w:p>
    <w:p w14:paraId="2149FFD0" w14:textId="77777777" w:rsidR="00AD2750" w:rsidRPr="00113001" w:rsidRDefault="00AD2750" w:rsidP="004F2E3C">
      <w:pPr>
        <w:spacing w:after="0" w:line="240" w:lineRule="auto"/>
        <w:jc w:val="both"/>
        <w:rPr>
          <w:rFonts w:ascii="Cambria" w:hAnsi="Cambria"/>
          <w:sz w:val="24"/>
          <w:szCs w:val="24"/>
        </w:rPr>
      </w:pPr>
    </w:p>
    <w:p w14:paraId="23666FB9"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We invite a reference to our circular </w:t>
      </w:r>
      <w:proofErr w:type="spellStart"/>
      <w:r w:rsidRPr="00113001">
        <w:rPr>
          <w:rFonts w:ascii="Cambria" w:hAnsi="Cambria"/>
          <w:sz w:val="24"/>
          <w:szCs w:val="24"/>
        </w:rPr>
        <w:t>DBS.CO.PPD.No.1950</w:t>
      </w:r>
      <w:proofErr w:type="spellEnd"/>
      <w:r w:rsidRPr="00113001">
        <w:rPr>
          <w:rFonts w:ascii="Cambria" w:hAnsi="Cambria"/>
          <w:sz w:val="24"/>
          <w:szCs w:val="24"/>
        </w:rPr>
        <w:t>/11.01.005/2011-12 dated August 04, 2011, in terms of which banks were advised, inter alia, to have appropriate IT system in place for identification of Non-Performing Assets (</w:t>
      </w:r>
      <w:proofErr w:type="spellStart"/>
      <w:r w:rsidRPr="00113001">
        <w:rPr>
          <w:rFonts w:ascii="Cambria" w:hAnsi="Cambria"/>
          <w:sz w:val="24"/>
          <w:szCs w:val="24"/>
        </w:rPr>
        <w:t>NPA</w:t>
      </w:r>
      <w:proofErr w:type="spellEnd"/>
      <w:r w:rsidRPr="00113001">
        <w:rPr>
          <w:rFonts w:ascii="Cambria" w:hAnsi="Cambria"/>
          <w:sz w:val="24"/>
          <w:szCs w:val="24"/>
        </w:rPr>
        <w:t xml:space="preserve">) and generation of related data/returns, both for regulatory reporting and bank’s own MIS requirements. It is, however, observed that the processes for </w:t>
      </w:r>
      <w:proofErr w:type="spellStart"/>
      <w:r w:rsidRPr="00113001">
        <w:rPr>
          <w:rFonts w:ascii="Cambria" w:hAnsi="Cambria"/>
          <w:sz w:val="24"/>
          <w:szCs w:val="24"/>
        </w:rPr>
        <w:t>NPA</w:t>
      </w:r>
      <w:proofErr w:type="spellEnd"/>
      <w:r w:rsidRPr="00113001">
        <w:rPr>
          <w:rFonts w:ascii="Cambria" w:hAnsi="Cambria"/>
          <w:sz w:val="24"/>
          <w:szCs w:val="24"/>
        </w:rPr>
        <w:t xml:space="preserve"> identification, income recognition, </w:t>
      </w:r>
      <w:proofErr w:type="gramStart"/>
      <w:r w:rsidRPr="00113001">
        <w:rPr>
          <w:rFonts w:ascii="Cambria" w:hAnsi="Cambria"/>
          <w:sz w:val="24"/>
          <w:szCs w:val="24"/>
        </w:rPr>
        <w:t>provisioning</w:t>
      </w:r>
      <w:proofErr w:type="gramEnd"/>
      <w:r w:rsidRPr="00113001">
        <w:rPr>
          <w:rFonts w:ascii="Cambria" w:hAnsi="Cambria"/>
          <w:sz w:val="24"/>
          <w:szCs w:val="24"/>
        </w:rPr>
        <w:t xml:space="preserve"> and generation of related returns in many banks are not yet fully automated. Banks are still found to be resorting to manual identification of </w:t>
      </w:r>
      <w:proofErr w:type="spellStart"/>
      <w:r w:rsidRPr="00113001">
        <w:rPr>
          <w:rFonts w:ascii="Cambria" w:hAnsi="Cambria"/>
          <w:sz w:val="24"/>
          <w:szCs w:val="24"/>
        </w:rPr>
        <w:t>NPA</w:t>
      </w:r>
      <w:proofErr w:type="spellEnd"/>
      <w:r w:rsidRPr="00113001">
        <w:rPr>
          <w:rFonts w:ascii="Cambria" w:hAnsi="Cambria"/>
          <w:sz w:val="24"/>
          <w:szCs w:val="24"/>
        </w:rPr>
        <w:t xml:space="preserve"> and also over-riding the system generated asset classification by manual intervention in a routine manner.</w:t>
      </w:r>
    </w:p>
    <w:p w14:paraId="2BD8D257" w14:textId="77777777" w:rsidR="00AD2750" w:rsidRPr="00113001" w:rsidRDefault="00AD2750" w:rsidP="004F2E3C">
      <w:pPr>
        <w:spacing w:after="0" w:line="240" w:lineRule="auto"/>
        <w:jc w:val="both"/>
        <w:rPr>
          <w:rFonts w:ascii="Cambria" w:hAnsi="Cambria"/>
          <w:sz w:val="24"/>
          <w:szCs w:val="24"/>
        </w:rPr>
      </w:pPr>
    </w:p>
    <w:p w14:paraId="380A2E0B"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2. In order to ensure the completeness and integrity of the automated Asset Classification (classification of advances/investments as </w:t>
      </w:r>
      <w:proofErr w:type="spellStart"/>
      <w:r w:rsidRPr="00113001">
        <w:rPr>
          <w:rFonts w:ascii="Cambria" w:hAnsi="Cambria"/>
          <w:sz w:val="24"/>
          <w:szCs w:val="24"/>
        </w:rPr>
        <w:t>NPA</w:t>
      </w:r>
      <w:proofErr w:type="spellEnd"/>
      <w:r w:rsidRPr="00113001">
        <w:rPr>
          <w:rFonts w:ascii="Cambria" w:hAnsi="Cambria"/>
          <w:sz w:val="24"/>
          <w:szCs w:val="24"/>
        </w:rPr>
        <w:t>/</w:t>
      </w:r>
      <w:proofErr w:type="spellStart"/>
      <w:r w:rsidRPr="00113001">
        <w:rPr>
          <w:rFonts w:ascii="Cambria" w:hAnsi="Cambria"/>
          <w:sz w:val="24"/>
          <w:szCs w:val="24"/>
        </w:rPr>
        <w:t>NPI</w:t>
      </w:r>
      <w:proofErr w:type="spellEnd"/>
      <w:r w:rsidRPr="00113001">
        <w:rPr>
          <w:rFonts w:ascii="Cambria" w:hAnsi="Cambria"/>
          <w:sz w:val="24"/>
          <w:szCs w:val="24"/>
        </w:rPr>
        <w:t xml:space="preserve"> and their upgradation), Provisioning calculation and Income Recognition processes, banks are advised to put in place / upgrade their systems to conform to the following guidelines latest by June 30, 2021.</w:t>
      </w:r>
    </w:p>
    <w:p w14:paraId="79953F0C" w14:textId="77777777" w:rsidR="00AD2750" w:rsidRPr="00113001" w:rsidRDefault="00AD2750" w:rsidP="004F2E3C">
      <w:pPr>
        <w:spacing w:after="0" w:line="240" w:lineRule="auto"/>
        <w:jc w:val="both"/>
        <w:rPr>
          <w:rFonts w:ascii="Cambria" w:hAnsi="Cambria"/>
          <w:sz w:val="24"/>
          <w:szCs w:val="24"/>
        </w:rPr>
      </w:pPr>
    </w:p>
    <w:p w14:paraId="47268A2F" w14:textId="77777777" w:rsidR="00113001" w:rsidRPr="00113001" w:rsidRDefault="00113001" w:rsidP="00113001">
      <w:pPr>
        <w:spacing w:after="0" w:line="240" w:lineRule="auto"/>
        <w:jc w:val="both"/>
        <w:rPr>
          <w:rFonts w:ascii="Cambria" w:hAnsi="Cambria"/>
          <w:sz w:val="24"/>
          <w:szCs w:val="24"/>
        </w:rPr>
      </w:pPr>
      <w:r w:rsidRPr="00113001">
        <w:rPr>
          <w:rFonts w:ascii="Cambria" w:hAnsi="Cambria"/>
          <w:sz w:val="24"/>
          <w:szCs w:val="24"/>
        </w:rPr>
        <w:t>Link for Detailed Circular:</w:t>
      </w:r>
    </w:p>
    <w:p w14:paraId="7CBA8350" w14:textId="4775CA46" w:rsidR="00113001" w:rsidRPr="00113001" w:rsidRDefault="00292908" w:rsidP="004F2E3C">
      <w:pPr>
        <w:spacing w:after="0" w:line="240" w:lineRule="auto"/>
        <w:jc w:val="both"/>
        <w:rPr>
          <w:rFonts w:ascii="Cambria" w:hAnsi="Cambria"/>
          <w:sz w:val="24"/>
          <w:szCs w:val="24"/>
        </w:rPr>
      </w:pPr>
      <w:hyperlink r:id="rId16" w:history="1">
        <w:r w:rsidR="00113001" w:rsidRPr="00113001">
          <w:rPr>
            <w:rStyle w:val="Hyperlink"/>
            <w:rFonts w:ascii="Cambria" w:hAnsi="Cambria"/>
            <w:sz w:val="24"/>
            <w:szCs w:val="24"/>
          </w:rPr>
          <w:t>https://www.rbi.org.in/Scripts/NotificationUser.aspx?Id=11964&amp;Mode=0</w:t>
        </w:r>
      </w:hyperlink>
      <w:r w:rsidR="00113001" w:rsidRPr="00113001">
        <w:rPr>
          <w:rFonts w:ascii="Cambria" w:hAnsi="Cambria"/>
          <w:sz w:val="24"/>
          <w:szCs w:val="24"/>
        </w:rPr>
        <w:t xml:space="preserve"> </w:t>
      </w:r>
    </w:p>
    <w:p w14:paraId="70BCF5C7" w14:textId="1C2DD79E" w:rsidR="00AD2750" w:rsidRPr="00113001" w:rsidRDefault="00AD2750" w:rsidP="004F2E3C">
      <w:pPr>
        <w:pBdr>
          <w:bottom w:val="single" w:sz="12" w:space="1" w:color="auto"/>
        </w:pBdr>
        <w:spacing w:after="0" w:line="240" w:lineRule="auto"/>
        <w:jc w:val="both"/>
        <w:rPr>
          <w:rFonts w:ascii="Cambria" w:hAnsi="Cambria"/>
          <w:sz w:val="24"/>
          <w:szCs w:val="24"/>
        </w:rPr>
      </w:pPr>
    </w:p>
    <w:p w14:paraId="2DDDBFE6" w14:textId="123D7D22" w:rsidR="000D176C" w:rsidRDefault="00113001" w:rsidP="004F2E3C">
      <w:pPr>
        <w:spacing w:after="0" w:line="240" w:lineRule="auto"/>
        <w:jc w:val="both"/>
        <w:rPr>
          <w:rFonts w:ascii="Cambria" w:hAnsi="Cambria" w:cs="Arial"/>
          <w:b/>
          <w:bCs/>
          <w:color w:val="000000"/>
          <w:sz w:val="24"/>
          <w:szCs w:val="24"/>
        </w:rPr>
      </w:pPr>
      <w:r w:rsidRPr="00113001">
        <w:rPr>
          <w:rFonts w:ascii="Cambria" w:hAnsi="Cambria" w:cs="Arial"/>
          <w:b/>
          <w:bCs/>
          <w:color w:val="000000"/>
          <w:sz w:val="24"/>
          <w:szCs w:val="24"/>
        </w:rPr>
        <w:t>FAQs on Resolution Framework for Covid-19 related stress (</w:t>
      </w:r>
      <w:r w:rsidRPr="00113001">
        <w:rPr>
          <w:rFonts w:ascii="Cambria" w:hAnsi="Cambria" w:cs="Arial"/>
          <w:b/>
          <w:bCs/>
          <w:color w:val="FF0000"/>
          <w:sz w:val="24"/>
          <w:szCs w:val="24"/>
        </w:rPr>
        <w:t>Revised on December 12, 2020</w:t>
      </w:r>
      <w:r w:rsidRPr="00113001">
        <w:rPr>
          <w:rFonts w:ascii="Cambria" w:hAnsi="Cambria" w:cs="Arial"/>
          <w:b/>
          <w:bCs/>
          <w:color w:val="000000"/>
          <w:sz w:val="24"/>
          <w:szCs w:val="24"/>
        </w:rPr>
        <w:t>)</w:t>
      </w:r>
    </w:p>
    <w:p w14:paraId="5BF62F22" w14:textId="77777777" w:rsidR="005D5CE2" w:rsidRPr="00113001" w:rsidRDefault="005D5CE2" w:rsidP="004F2E3C">
      <w:pPr>
        <w:spacing w:after="0" w:line="240" w:lineRule="auto"/>
        <w:jc w:val="both"/>
        <w:rPr>
          <w:rFonts w:ascii="Cambria" w:hAnsi="Cambria"/>
          <w:sz w:val="24"/>
          <w:szCs w:val="24"/>
        </w:rPr>
      </w:pPr>
    </w:p>
    <w:p w14:paraId="2B18FB85" w14:textId="354E39CA" w:rsidR="00113001" w:rsidRPr="00113001" w:rsidRDefault="00113001" w:rsidP="004F2E3C">
      <w:pPr>
        <w:spacing w:after="0" w:line="240" w:lineRule="auto"/>
        <w:jc w:val="both"/>
        <w:rPr>
          <w:rFonts w:ascii="Cambria" w:hAnsi="Cambria"/>
          <w:sz w:val="24"/>
          <w:szCs w:val="24"/>
        </w:rPr>
      </w:pPr>
      <w:r w:rsidRPr="00113001">
        <w:rPr>
          <w:rFonts w:ascii="Cambria" w:hAnsi="Cambria"/>
          <w:sz w:val="24"/>
          <w:szCs w:val="24"/>
        </w:rPr>
        <w:t xml:space="preserve">Link for </w:t>
      </w:r>
      <w:r>
        <w:rPr>
          <w:rFonts w:ascii="Cambria" w:hAnsi="Cambria"/>
          <w:sz w:val="24"/>
          <w:szCs w:val="24"/>
        </w:rPr>
        <w:t>FAQ</w:t>
      </w:r>
      <w:r w:rsidRPr="00113001">
        <w:rPr>
          <w:rFonts w:ascii="Cambria" w:hAnsi="Cambria"/>
          <w:sz w:val="24"/>
          <w:szCs w:val="24"/>
        </w:rPr>
        <w:t>:</w:t>
      </w:r>
    </w:p>
    <w:p w14:paraId="5C7F70A8" w14:textId="6766F191" w:rsidR="00113001" w:rsidRPr="00113001" w:rsidRDefault="00292908" w:rsidP="004F2E3C">
      <w:pPr>
        <w:spacing w:after="0" w:line="240" w:lineRule="auto"/>
        <w:jc w:val="both"/>
        <w:rPr>
          <w:rFonts w:ascii="Cambria" w:hAnsi="Cambria"/>
          <w:sz w:val="24"/>
          <w:szCs w:val="24"/>
        </w:rPr>
      </w:pPr>
      <w:hyperlink r:id="rId17" w:history="1">
        <w:r w:rsidR="00113001" w:rsidRPr="00113001">
          <w:rPr>
            <w:rStyle w:val="Hyperlink"/>
            <w:rFonts w:ascii="Cambria" w:hAnsi="Cambria"/>
            <w:sz w:val="24"/>
            <w:szCs w:val="24"/>
          </w:rPr>
          <w:t>https://www.rbi.org.in/scripts/FAQView.aspx?Id=137</w:t>
        </w:r>
      </w:hyperlink>
      <w:r w:rsidR="00113001" w:rsidRPr="00113001">
        <w:rPr>
          <w:rFonts w:ascii="Cambria" w:hAnsi="Cambria"/>
          <w:sz w:val="24"/>
          <w:szCs w:val="24"/>
        </w:rPr>
        <w:t xml:space="preserve"> </w:t>
      </w:r>
    </w:p>
    <w:sectPr w:rsidR="00113001" w:rsidRPr="00113001">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F3B33" w14:textId="77777777" w:rsidR="00292908" w:rsidRDefault="00292908" w:rsidP="00D52BE8">
      <w:pPr>
        <w:spacing w:after="0" w:line="240" w:lineRule="auto"/>
      </w:pPr>
      <w:r>
        <w:separator/>
      </w:r>
    </w:p>
  </w:endnote>
  <w:endnote w:type="continuationSeparator" w:id="0">
    <w:p w14:paraId="4719D235" w14:textId="77777777" w:rsidR="00292908" w:rsidRDefault="00292908" w:rsidP="00D52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5943842"/>
      <w:docPartObj>
        <w:docPartGallery w:val="Page Numbers (Bottom of Page)"/>
        <w:docPartUnique/>
      </w:docPartObj>
    </w:sdtPr>
    <w:sdtEndPr>
      <w:rPr>
        <w:noProof/>
      </w:rPr>
    </w:sdtEndPr>
    <w:sdtContent>
      <w:p w14:paraId="5F10DF54" w14:textId="377AB1F6" w:rsidR="00F424E1" w:rsidRDefault="00F424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FCA125" w14:textId="77777777" w:rsidR="00F424E1" w:rsidRDefault="00F42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2B2C1" w14:textId="77777777" w:rsidR="00292908" w:rsidRDefault="00292908" w:rsidP="00D52BE8">
      <w:pPr>
        <w:spacing w:after="0" w:line="240" w:lineRule="auto"/>
      </w:pPr>
      <w:r>
        <w:separator/>
      </w:r>
    </w:p>
  </w:footnote>
  <w:footnote w:type="continuationSeparator" w:id="0">
    <w:p w14:paraId="3D270102" w14:textId="77777777" w:rsidR="00292908" w:rsidRDefault="00292908" w:rsidP="00D52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16E66"/>
    <w:multiLevelType w:val="hybridMultilevel"/>
    <w:tmpl w:val="06A8A7E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3F7B43"/>
    <w:multiLevelType w:val="hybridMultilevel"/>
    <w:tmpl w:val="1732194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47239C"/>
    <w:multiLevelType w:val="hybridMultilevel"/>
    <w:tmpl w:val="5AB0A418"/>
    <w:lvl w:ilvl="0" w:tplc="E6C262F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103011"/>
    <w:multiLevelType w:val="hybridMultilevel"/>
    <w:tmpl w:val="8EE2DFA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AE0A5A"/>
    <w:multiLevelType w:val="hybridMultilevel"/>
    <w:tmpl w:val="88F21F5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166997"/>
    <w:multiLevelType w:val="hybridMultilevel"/>
    <w:tmpl w:val="39D89D1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2B40E00"/>
    <w:multiLevelType w:val="hybridMultilevel"/>
    <w:tmpl w:val="6F5A659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2F95691"/>
    <w:multiLevelType w:val="hybridMultilevel"/>
    <w:tmpl w:val="7E7CF95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4D65069"/>
    <w:multiLevelType w:val="hybridMultilevel"/>
    <w:tmpl w:val="1EB43DE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7A115F8"/>
    <w:multiLevelType w:val="hybridMultilevel"/>
    <w:tmpl w:val="EA5456E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E5C457A"/>
    <w:multiLevelType w:val="hybridMultilevel"/>
    <w:tmpl w:val="143A407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17C1DB8"/>
    <w:multiLevelType w:val="hybridMultilevel"/>
    <w:tmpl w:val="873A525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44733D7"/>
    <w:multiLevelType w:val="hybridMultilevel"/>
    <w:tmpl w:val="FA5649D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51711D5"/>
    <w:multiLevelType w:val="hybridMultilevel"/>
    <w:tmpl w:val="7E086B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6AF3526"/>
    <w:multiLevelType w:val="hybridMultilevel"/>
    <w:tmpl w:val="68A88D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7687F45"/>
    <w:multiLevelType w:val="hybridMultilevel"/>
    <w:tmpl w:val="A632524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CA60A1B"/>
    <w:multiLevelType w:val="hybridMultilevel"/>
    <w:tmpl w:val="C50CE07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E1D421B"/>
    <w:multiLevelType w:val="hybridMultilevel"/>
    <w:tmpl w:val="A3F8C94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E203F85"/>
    <w:multiLevelType w:val="hybridMultilevel"/>
    <w:tmpl w:val="0F50D2A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EB631DB"/>
    <w:multiLevelType w:val="hybridMultilevel"/>
    <w:tmpl w:val="CD3E49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0584C92"/>
    <w:multiLevelType w:val="hybridMultilevel"/>
    <w:tmpl w:val="7CEA9B0E"/>
    <w:lvl w:ilvl="0" w:tplc="E6C262F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1426E40"/>
    <w:multiLevelType w:val="hybridMultilevel"/>
    <w:tmpl w:val="F1B0A46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53C6DCB"/>
    <w:multiLevelType w:val="hybridMultilevel"/>
    <w:tmpl w:val="6CA0D116"/>
    <w:lvl w:ilvl="0" w:tplc="4009001B">
      <w:start w:val="1"/>
      <w:numFmt w:val="lowerRoman"/>
      <w:lvlText w:val="%1."/>
      <w:lvlJc w:val="right"/>
      <w:pPr>
        <w:ind w:left="720" w:hanging="360"/>
      </w:pPr>
    </w:lvl>
    <w:lvl w:ilvl="1" w:tplc="C694C868">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77E10F9"/>
    <w:multiLevelType w:val="hybridMultilevel"/>
    <w:tmpl w:val="8FD68AF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A076AA2"/>
    <w:multiLevelType w:val="hybridMultilevel"/>
    <w:tmpl w:val="0BFADC6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1121C7D"/>
    <w:multiLevelType w:val="hybridMultilevel"/>
    <w:tmpl w:val="553E892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2935003"/>
    <w:multiLevelType w:val="hybridMultilevel"/>
    <w:tmpl w:val="93605B4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31A79C4"/>
    <w:multiLevelType w:val="hybridMultilevel"/>
    <w:tmpl w:val="70E46FC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772FB6"/>
    <w:multiLevelType w:val="hybridMultilevel"/>
    <w:tmpl w:val="2E886E4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680677A"/>
    <w:multiLevelType w:val="hybridMultilevel"/>
    <w:tmpl w:val="E7DA236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8C85516"/>
    <w:multiLevelType w:val="hybridMultilevel"/>
    <w:tmpl w:val="EF7ABAC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C7315D5"/>
    <w:multiLevelType w:val="hybridMultilevel"/>
    <w:tmpl w:val="70D4F05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E1719D0"/>
    <w:multiLevelType w:val="hybridMultilevel"/>
    <w:tmpl w:val="F94EDAEA"/>
    <w:lvl w:ilvl="0" w:tplc="4009001B">
      <w:start w:val="1"/>
      <w:numFmt w:val="lowerRoman"/>
      <w:lvlText w:val="%1."/>
      <w:lvlJc w:val="right"/>
      <w:pPr>
        <w:ind w:left="720" w:hanging="360"/>
      </w:pPr>
    </w:lvl>
    <w:lvl w:ilvl="1" w:tplc="40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24"/>
  </w:num>
  <w:num w:numId="3">
    <w:abstractNumId w:val="29"/>
  </w:num>
  <w:num w:numId="4">
    <w:abstractNumId w:val="7"/>
  </w:num>
  <w:num w:numId="5">
    <w:abstractNumId w:val="21"/>
  </w:num>
  <w:num w:numId="6">
    <w:abstractNumId w:val="4"/>
  </w:num>
  <w:num w:numId="7">
    <w:abstractNumId w:val="31"/>
  </w:num>
  <w:num w:numId="8">
    <w:abstractNumId w:val="13"/>
  </w:num>
  <w:num w:numId="9">
    <w:abstractNumId w:val="1"/>
  </w:num>
  <w:num w:numId="10">
    <w:abstractNumId w:val="9"/>
  </w:num>
  <w:num w:numId="11">
    <w:abstractNumId w:val="20"/>
  </w:num>
  <w:num w:numId="12">
    <w:abstractNumId w:val="2"/>
  </w:num>
  <w:num w:numId="13">
    <w:abstractNumId w:val="30"/>
  </w:num>
  <w:num w:numId="14">
    <w:abstractNumId w:val="26"/>
  </w:num>
  <w:num w:numId="15">
    <w:abstractNumId w:val="28"/>
  </w:num>
  <w:num w:numId="16">
    <w:abstractNumId w:val="12"/>
  </w:num>
  <w:num w:numId="17">
    <w:abstractNumId w:val="3"/>
  </w:num>
  <w:num w:numId="18">
    <w:abstractNumId w:val="11"/>
  </w:num>
  <w:num w:numId="19">
    <w:abstractNumId w:val="14"/>
  </w:num>
  <w:num w:numId="20">
    <w:abstractNumId w:val="8"/>
  </w:num>
  <w:num w:numId="21">
    <w:abstractNumId w:val="27"/>
  </w:num>
  <w:num w:numId="22">
    <w:abstractNumId w:val="15"/>
  </w:num>
  <w:num w:numId="23">
    <w:abstractNumId w:val="6"/>
  </w:num>
  <w:num w:numId="24">
    <w:abstractNumId w:val="23"/>
  </w:num>
  <w:num w:numId="25">
    <w:abstractNumId w:val="17"/>
  </w:num>
  <w:num w:numId="26">
    <w:abstractNumId w:val="16"/>
  </w:num>
  <w:num w:numId="27">
    <w:abstractNumId w:val="25"/>
  </w:num>
  <w:num w:numId="28">
    <w:abstractNumId w:val="22"/>
  </w:num>
  <w:num w:numId="29">
    <w:abstractNumId w:val="10"/>
  </w:num>
  <w:num w:numId="30">
    <w:abstractNumId w:val="5"/>
  </w:num>
  <w:num w:numId="31">
    <w:abstractNumId w:val="32"/>
  </w:num>
  <w:num w:numId="32">
    <w:abstractNumId w:val="19"/>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C2"/>
    <w:rsid w:val="00006EDF"/>
    <w:rsid w:val="00073301"/>
    <w:rsid w:val="000D176C"/>
    <w:rsid w:val="000D5A90"/>
    <w:rsid w:val="00113001"/>
    <w:rsid w:val="00147A38"/>
    <w:rsid w:val="002238AA"/>
    <w:rsid w:val="00282666"/>
    <w:rsid w:val="00292908"/>
    <w:rsid w:val="00392839"/>
    <w:rsid w:val="003A1120"/>
    <w:rsid w:val="00476BD5"/>
    <w:rsid w:val="004E503C"/>
    <w:rsid w:val="004F2E3C"/>
    <w:rsid w:val="005D5CE2"/>
    <w:rsid w:val="005E301D"/>
    <w:rsid w:val="00610801"/>
    <w:rsid w:val="006233B6"/>
    <w:rsid w:val="006238CA"/>
    <w:rsid w:val="006449DE"/>
    <w:rsid w:val="00745628"/>
    <w:rsid w:val="007615AE"/>
    <w:rsid w:val="00825F35"/>
    <w:rsid w:val="00870362"/>
    <w:rsid w:val="008A7CB1"/>
    <w:rsid w:val="00902F9B"/>
    <w:rsid w:val="009541FD"/>
    <w:rsid w:val="00984497"/>
    <w:rsid w:val="009C1AF0"/>
    <w:rsid w:val="00A57CC1"/>
    <w:rsid w:val="00AC0EFA"/>
    <w:rsid w:val="00AD2750"/>
    <w:rsid w:val="00B24EBE"/>
    <w:rsid w:val="00BD2AF0"/>
    <w:rsid w:val="00C72793"/>
    <w:rsid w:val="00CD12C2"/>
    <w:rsid w:val="00D11854"/>
    <w:rsid w:val="00D209C8"/>
    <w:rsid w:val="00D52BE8"/>
    <w:rsid w:val="00D53EA0"/>
    <w:rsid w:val="00D7634B"/>
    <w:rsid w:val="00DE2575"/>
    <w:rsid w:val="00F424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087E"/>
  <w15:chartTrackingRefBased/>
  <w15:docId w15:val="{565E9D74-52DA-4A81-98CB-DF6D0040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2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2C2"/>
    <w:pPr>
      <w:ind w:left="720"/>
      <w:contextualSpacing/>
    </w:pPr>
  </w:style>
  <w:style w:type="character" w:styleId="Hyperlink">
    <w:name w:val="Hyperlink"/>
    <w:basedOn w:val="DefaultParagraphFont"/>
    <w:uiPriority w:val="99"/>
    <w:unhideWhenUsed/>
    <w:rsid w:val="00BD2AF0"/>
    <w:rPr>
      <w:color w:val="0563C1" w:themeColor="hyperlink"/>
      <w:u w:val="single"/>
    </w:rPr>
  </w:style>
  <w:style w:type="character" w:styleId="UnresolvedMention">
    <w:name w:val="Unresolved Mention"/>
    <w:basedOn w:val="DefaultParagraphFont"/>
    <w:uiPriority w:val="99"/>
    <w:semiHidden/>
    <w:unhideWhenUsed/>
    <w:rsid w:val="00BD2AF0"/>
    <w:rPr>
      <w:color w:val="605E5C"/>
      <w:shd w:val="clear" w:color="auto" w:fill="E1DFDD"/>
    </w:rPr>
  </w:style>
  <w:style w:type="character" w:customStyle="1" w:styleId="head">
    <w:name w:val="head"/>
    <w:basedOn w:val="DefaultParagraphFont"/>
    <w:rsid w:val="007615AE"/>
  </w:style>
  <w:style w:type="paragraph" w:styleId="Header">
    <w:name w:val="header"/>
    <w:basedOn w:val="Normal"/>
    <w:link w:val="HeaderChar"/>
    <w:uiPriority w:val="99"/>
    <w:unhideWhenUsed/>
    <w:rsid w:val="00D52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BE8"/>
  </w:style>
  <w:style w:type="paragraph" w:styleId="Footer">
    <w:name w:val="footer"/>
    <w:basedOn w:val="Normal"/>
    <w:link w:val="FooterChar"/>
    <w:uiPriority w:val="99"/>
    <w:unhideWhenUsed/>
    <w:rsid w:val="00D52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BE8"/>
  </w:style>
  <w:style w:type="table" w:styleId="TableGrid">
    <w:name w:val="Table Grid"/>
    <w:basedOn w:val="TableNormal"/>
    <w:uiPriority w:val="39"/>
    <w:rsid w:val="00984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1122">
      <w:bodyDiv w:val="1"/>
      <w:marLeft w:val="0"/>
      <w:marRight w:val="0"/>
      <w:marTop w:val="0"/>
      <w:marBottom w:val="0"/>
      <w:divBdr>
        <w:top w:val="none" w:sz="0" w:space="0" w:color="auto"/>
        <w:left w:val="none" w:sz="0" w:space="0" w:color="auto"/>
        <w:bottom w:val="none" w:sz="0" w:space="0" w:color="auto"/>
        <w:right w:val="none" w:sz="0" w:space="0" w:color="auto"/>
      </w:divBdr>
    </w:div>
    <w:div w:id="155849529">
      <w:bodyDiv w:val="1"/>
      <w:marLeft w:val="0"/>
      <w:marRight w:val="0"/>
      <w:marTop w:val="0"/>
      <w:marBottom w:val="0"/>
      <w:divBdr>
        <w:top w:val="none" w:sz="0" w:space="0" w:color="auto"/>
        <w:left w:val="none" w:sz="0" w:space="0" w:color="auto"/>
        <w:bottom w:val="none" w:sz="0" w:space="0" w:color="auto"/>
        <w:right w:val="none" w:sz="0" w:space="0" w:color="auto"/>
      </w:divBdr>
    </w:div>
    <w:div w:id="710034431">
      <w:bodyDiv w:val="1"/>
      <w:marLeft w:val="0"/>
      <w:marRight w:val="0"/>
      <w:marTop w:val="0"/>
      <w:marBottom w:val="0"/>
      <w:divBdr>
        <w:top w:val="none" w:sz="0" w:space="0" w:color="auto"/>
        <w:left w:val="none" w:sz="0" w:space="0" w:color="auto"/>
        <w:bottom w:val="none" w:sz="0" w:space="0" w:color="auto"/>
        <w:right w:val="none" w:sz="0" w:space="0" w:color="auto"/>
      </w:divBdr>
    </w:div>
    <w:div w:id="850686230">
      <w:bodyDiv w:val="1"/>
      <w:marLeft w:val="0"/>
      <w:marRight w:val="0"/>
      <w:marTop w:val="0"/>
      <w:marBottom w:val="0"/>
      <w:divBdr>
        <w:top w:val="none" w:sz="0" w:space="0" w:color="auto"/>
        <w:left w:val="none" w:sz="0" w:space="0" w:color="auto"/>
        <w:bottom w:val="none" w:sz="0" w:space="0" w:color="auto"/>
        <w:right w:val="none" w:sz="0" w:space="0" w:color="auto"/>
      </w:divBdr>
    </w:div>
    <w:div w:id="870800862">
      <w:bodyDiv w:val="1"/>
      <w:marLeft w:val="0"/>
      <w:marRight w:val="0"/>
      <w:marTop w:val="0"/>
      <w:marBottom w:val="0"/>
      <w:divBdr>
        <w:top w:val="none" w:sz="0" w:space="0" w:color="auto"/>
        <w:left w:val="none" w:sz="0" w:space="0" w:color="auto"/>
        <w:bottom w:val="none" w:sz="0" w:space="0" w:color="auto"/>
        <w:right w:val="none" w:sz="0" w:space="0" w:color="auto"/>
      </w:divBdr>
      <w:divsChild>
        <w:div w:id="1984000223">
          <w:marLeft w:val="0"/>
          <w:marRight w:val="0"/>
          <w:marTop w:val="0"/>
          <w:marBottom w:val="0"/>
          <w:divBdr>
            <w:top w:val="none" w:sz="0" w:space="0" w:color="auto"/>
            <w:left w:val="none" w:sz="0" w:space="0" w:color="auto"/>
            <w:bottom w:val="none" w:sz="0" w:space="0" w:color="auto"/>
            <w:right w:val="none" w:sz="0" w:space="0" w:color="auto"/>
          </w:divBdr>
        </w:div>
      </w:divsChild>
    </w:div>
    <w:div w:id="976371097">
      <w:bodyDiv w:val="1"/>
      <w:marLeft w:val="0"/>
      <w:marRight w:val="0"/>
      <w:marTop w:val="0"/>
      <w:marBottom w:val="0"/>
      <w:divBdr>
        <w:top w:val="none" w:sz="0" w:space="0" w:color="auto"/>
        <w:left w:val="none" w:sz="0" w:space="0" w:color="auto"/>
        <w:bottom w:val="none" w:sz="0" w:space="0" w:color="auto"/>
        <w:right w:val="none" w:sz="0" w:space="0" w:color="auto"/>
      </w:divBdr>
    </w:div>
    <w:div w:id="1251738480">
      <w:bodyDiv w:val="1"/>
      <w:marLeft w:val="0"/>
      <w:marRight w:val="0"/>
      <w:marTop w:val="0"/>
      <w:marBottom w:val="0"/>
      <w:divBdr>
        <w:top w:val="none" w:sz="0" w:space="0" w:color="auto"/>
        <w:left w:val="none" w:sz="0" w:space="0" w:color="auto"/>
        <w:bottom w:val="none" w:sz="0" w:space="0" w:color="auto"/>
        <w:right w:val="none" w:sz="0" w:space="0" w:color="auto"/>
      </w:divBdr>
    </w:div>
    <w:div w:id="1285041635">
      <w:bodyDiv w:val="1"/>
      <w:marLeft w:val="0"/>
      <w:marRight w:val="0"/>
      <w:marTop w:val="0"/>
      <w:marBottom w:val="0"/>
      <w:divBdr>
        <w:top w:val="none" w:sz="0" w:space="0" w:color="auto"/>
        <w:left w:val="none" w:sz="0" w:space="0" w:color="auto"/>
        <w:bottom w:val="none" w:sz="0" w:space="0" w:color="auto"/>
        <w:right w:val="none" w:sz="0" w:space="0" w:color="auto"/>
      </w:divBdr>
    </w:div>
    <w:div w:id="1470317427">
      <w:bodyDiv w:val="1"/>
      <w:marLeft w:val="0"/>
      <w:marRight w:val="0"/>
      <w:marTop w:val="0"/>
      <w:marBottom w:val="0"/>
      <w:divBdr>
        <w:top w:val="none" w:sz="0" w:space="0" w:color="auto"/>
        <w:left w:val="none" w:sz="0" w:space="0" w:color="auto"/>
        <w:bottom w:val="none" w:sz="0" w:space="0" w:color="auto"/>
        <w:right w:val="none" w:sz="0" w:space="0" w:color="auto"/>
      </w:divBdr>
    </w:div>
    <w:div w:id="1695036018">
      <w:bodyDiv w:val="1"/>
      <w:marLeft w:val="0"/>
      <w:marRight w:val="0"/>
      <w:marTop w:val="0"/>
      <w:marBottom w:val="0"/>
      <w:divBdr>
        <w:top w:val="none" w:sz="0" w:space="0" w:color="auto"/>
        <w:left w:val="none" w:sz="0" w:space="0" w:color="auto"/>
        <w:bottom w:val="none" w:sz="0" w:space="0" w:color="auto"/>
        <w:right w:val="none" w:sz="0" w:space="0" w:color="auto"/>
      </w:divBdr>
    </w:div>
    <w:div w:id="1736275371">
      <w:bodyDiv w:val="1"/>
      <w:marLeft w:val="0"/>
      <w:marRight w:val="0"/>
      <w:marTop w:val="0"/>
      <w:marBottom w:val="0"/>
      <w:divBdr>
        <w:top w:val="none" w:sz="0" w:space="0" w:color="auto"/>
        <w:left w:val="none" w:sz="0" w:space="0" w:color="auto"/>
        <w:bottom w:val="none" w:sz="0" w:space="0" w:color="auto"/>
        <w:right w:val="none" w:sz="0" w:space="0" w:color="auto"/>
      </w:divBdr>
    </w:div>
    <w:div w:id="1743988046">
      <w:bodyDiv w:val="1"/>
      <w:marLeft w:val="0"/>
      <w:marRight w:val="0"/>
      <w:marTop w:val="0"/>
      <w:marBottom w:val="0"/>
      <w:divBdr>
        <w:top w:val="none" w:sz="0" w:space="0" w:color="auto"/>
        <w:left w:val="none" w:sz="0" w:space="0" w:color="auto"/>
        <w:bottom w:val="none" w:sz="0" w:space="0" w:color="auto"/>
        <w:right w:val="none" w:sz="0" w:space="0" w:color="auto"/>
      </w:divBdr>
    </w:div>
    <w:div w:id="198523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1941&amp;Mode=0" TargetMode="External"/><Relationship Id="rId13" Type="http://schemas.openxmlformats.org/officeDocument/2006/relationships/hyperlink" Target="https://www.rbi.org.in/Scripts/NotificationUser.aspx?Id=11959&amp;Mode=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bi.org.in" TargetMode="External"/><Relationship Id="rId17" Type="http://schemas.openxmlformats.org/officeDocument/2006/relationships/hyperlink" Target="https://www.rbi.org.in/scripts/FAQView.aspx?Id=137" TargetMode="External"/><Relationship Id="rId2" Type="http://schemas.openxmlformats.org/officeDocument/2006/relationships/numbering" Target="numbering.xml"/><Relationship Id="rId16" Type="http://schemas.openxmlformats.org/officeDocument/2006/relationships/hyperlink" Target="https://www.rbi.org.in/Scripts/NotificationUser.aspx?Id=11964&amp;Mode=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bi.org.in/Scripts/NotificationUser.aspx?Id=11943&amp;Mode=0" TargetMode="External"/><Relationship Id="rId5" Type="http://schemas.openxmlformats.org/officeDocument/2006/relationships/webSettings" Target="webSettings.xml"/><Relationship Id="rId15" Type="http://schemas.openxmlformats.org/officeDocument/2006/relationships/hyperlink" Target="https://www.rbi.org.in/Scripts/NotificationUser.aspx?Id=11962&amp;Mode=0" TargetMode="External"/><Relationship Id="rId10" Type="http://schemas.openxmlformats.org/officeDocument/2006/relationships/hyperlink" Target="https://www.rbi.org.in/Scripts/NotificationUser.aspx?Id=11943&amp;Mode=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bi.org.in/Scripts/NotificationUser.aspx?Id=11961&amp;Mode=0" TargetMode="External"/><Relationship Id="rId14" Type="http://schemas.openxmlformats.org/officeDocument/2006/relationships/hyperlink" Target="https://www.rbi.org.in/Scripts/NotificationUser.aspx?Id=11960&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1E71E-DC73-4E29-8D2E-2ED8A4CE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3546</Words>
  <Characters>20216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5</cp:revision>
  <dcterms:created xsi:type="dcterms:W3CDTF">2021-01-14T13:57:00Z</dcterms:created>
  <dcterms:modified xsi:type="dcterms:W3CDTF">2021-01-15T12:02:00Z</dcterms:modified>
</cp:coreProperties>
</file>